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CD6" w:rsidRPr="00C94DBE" w:rsidRDefault="000C5CD6" w:rsidP="000C5CD6">
      <w:pPr>
        <w:pStyle w:val="aa"/>
        <w:rPr>
          <w:rFonts w:eastAsia="宋体" w:cs="Arial"/>
          <w:lang w:eastAsia="zh-CN"/>
        </w:rPr>
      </w:pPr>
      <w:r w:rsidRPr="00C94DBE">
        <w:rPr>
          <w:rFonts w:cs="Arial"/>
        </w:rPr>
        <w:t>3GPP TSG-RAN WG4 Meeting #</w:t>
      </w:r>
      <w:r w:rsidRPr="00C94DBE">
        <w:rPr>
          <w:rFonts w:eastAsia="宋体" w:cs="Arial"/>
          <w:lang w:eastAsia="zh-CN"/>
        </w:rPr>
        <w:t>9</w:t>
      </w:r>
      <w:r w:rsidR="003A5061">
        <w:rPr>
          <w:rFonts w:eastAsia="宋体" w:cs="Arial"/>
          <w:lang w:eastAsia="zh-CN"/>
        </w:rPr>
        <w:t>6</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w:t>
      </w:r>
      <w:r w:rsidR="008301D0">
        <w:rPr>
          <w:rFonts w:eastAsia="宋体" w:cs="Arial"/>
          <w:lang w:eastAsia="zh-CN"/>
        </w:rPr>
        <w:t xml:space="preserve">      </w:t>
      </w:r>
      <w:r>
        <w:rPr>
          <w:rFonts w:eastAsia="宋体" w:cs="Arial" w:hint="eastAsia"/>
          <w:lang w:eastAsia="zh-CN"/>
        </w:rPr>
        <w:t xml:space="preserve">         R4-20</w:t>
      </w:r>
      <w:r w:rsidR="00577AA8">
        <w:rPr>
          <w:rFonts w:eastAsia="宋体" w:cs="Arial"/>
          <w:lang w:eastAsia="zh-CN"/>
        </w:rPr>
        <w:t>10147</w:t>
      </w:r>
      <w:r w:rsidRPr="00C94DBE">
        <w:rPr>
          <w:rFonts w:eastAsia="宋体" w:cs="Arial"/>
          <w:lang w:eastAsia="zh-CN"/>
        </w:rPr>
        <w:t xml:space="preserve">                                       </w:t>
      </w:r>
      <w:r>
        <w:rPr>
          <w:rFonts w:eastAsia="宋体" w:cs="Arial"/>
          <w:lang w:eastAsia="zh-CN"/>
        </w:rPr>
        <w:t xml:space="preserve">                             </w:t>
      </w:r>
    </w:p>
    <w:p w:rsidR="000C5CD6" w:rsidRDefault="000C5CD6" w:rsidP="000C5CD6">
      <w:pPr>
        <w:pStyle w:val="aa"/>
        <w:rPr>
          <w:rFonts w:eastAsiaTheme="minorEastAsia" w:cs="Arial"/>
          <w:lang w:eastAsia="zh-CN"/>
        </w:rPr>
      </w:pPr>
      <w:r>
        <w:t>Electronic Meeting</w:t>
      </w:r>
      <w:r w:rsidRPr="00051CD8">
        <w:rPr>
          <w:rFonts w:cs="Arial" w:hint="eastAsia"/>
        </w:rPr>
        <w:t>,</w:t>
      </w:r>
      <w:r w:rsidRPr="00051CD8">
        <w:rPr>
          <w:rFonts w:cs="Arial"/>
        </w:rPr>
        <w:t xml:space="preserve"> </w:t>
      </w:r>
      <w:r w:rsidR="005C632B">
        <w:rPr>
          <w:rFonts w:cs="Arial"/>
        </w:rPr>
        <w:t>17</w:t>
      </w:r>
      <w:r w:rsidRPr="00F51A98">
        <w:rPr>
          <w:rFonts w:cs="Arial"/>
          <w:vertAlign w:val="superscript"/>
        </w:rPr>
        <w:t>th</w:t>
      </w:r>
      <w:r w:rsidRPr="00051CD8">
        <w:rPr>
          <w:rFonts w:cs="Arial"/>
        </w:rPr>
        <w:t>–</w:t>
      </w:r>
      <w:r w:rsidRPr="00051CD8">
        <w:rPr>
          <w:rFonts w:cs="Arial" w:hint="eastAsia"/>
        </w:rPr>
        <w:t xml:space="preserve"> </w:t>
      </w:r>
      <w:r w:rsidR="005C632B">
        <w:rPr>
          <w:rFonts w:eastAsiaTheme="minorEastAsia" w:cs="Arial"/>
          <w:lang w:eastAsia="zh-CN"/>
        </w:rPr>
        <w:t>28</w:t>
      </w:r>
      <w:r w:rsidRPr="00F51A98">
        <w:rPr>
          <w:rFonts w:eastAsiaTheme="minorEastAsia" w:cs="Arial" w:hint="eastAsia"/>
          <w:vertAlign w:val="superscript"/>
          <w:lang w:eastAsia="zh-CN"/>
        </w:rPr>
        <w:t>th</w:t>
      </w:r>
      <w:r w:rsidR="003A5061">
        <w:rPr>
          <w:rFonts w:eastAsiaTheme="minorEastAsia" w:cs="Arial"/>
          <w:lang w:eastAsia="zh-CN"/>
        </w:rPr>
        <w:t>August</w:t>
      </w:r>
      <w:r w:rsidRPr="00051CD8">
        <w:rPr>
          <w:rFonts w:cs="Arial"/>
        </w:rPr>
        <w:t>, 20</w:t>
      </w:r>
      <w:r>
        <w:rPr>
          <w:rFonts w:eastAsiaTheme="minorEastAsia" w:cs="Arial" w:hint="eastAsia"/>
          <w:lang w:eastAsia="zh-CN"/>
        </w:rPr>
        <w:t>20</w:t>
      </w:r>
    </w:p>
    <w:p w:rsidR="000C5CD6" w:rsidRPr="00051CD8" w:rsidRDefault="000C5CD6" w:rsidP="000C5CD6">
      <w:pPr>
        <w:pStyle w:val="aa"/>
        <w:rPr>
          <w:rFonts w:eastAsiaTheme="minorEastAsia" w:cs="Arial"/>
          <w:lang w:eastAsia="zh-CN"/>
        </w:rPr>
      </w:pPr>
    </w:p>
    <w:p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501873">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1836A1">
        <w:rPr>
          <w:rFonts w:ascii="Arial" w:eastAsia="宋体" w:hAnsi="Arial" w:cs="Arial"/>
          <w:b/>
          <w:noProof/>
          <w:kern w:val="0"/>
          <w:sz w:val="22"/>
          <w:szCs w:val="22"/>
          <w:lang w:val="en-GB"/>
        </w:rPr>
        <w:t>7.4</w:t>
      </w:r>
      <w:r w:rsidR="00E33C63">
        <w:rPr>
          <w:rFonts w:ascii="Arial" w:eastAsia="宋体" w:hAnsi="Arial" w:cs="Arial"/>
          <w:b/>
          <w:noProof/>
          <w:kern w:val="0"/>
          <w:sz w:val="22"/>
          <w:szCs w:val="22"/>
          <w:lang w:val="en-GB"/>
        </w:rPr>
        <w:t>.2.1.1</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3A4FBD">
        <w:rPr>
          <w:rFonts w:ascii="Arial" w:eastAsia="宋体" w:hAnsi="Arial" w:cs="Arial"/>
          <w:b/>
          <w:noProof/>
          <w:kern w:val="0"/>
          <w:sz w:val="22"/>
          <w:lang w:val="en-GB"/>
        </w:rPr>
        <w:t xml:space="preserve"> </w:t>
      </w:r>
      <w:r w:rsidR="00917D10">
        <w:rPr>
          <w:rFonts w:ascii="Arial" w:eastAsia="宋体" w:hAnsi="Arial" w:cs="Arial"/>
          <w:b/>
          <w:noProof/>
          <w:kern w:val="0"/>
          <w:sz w:val="22"/>
          <w:lang w:val="en-GB"/>
        </w:rPr>
        <w:t>IAB</w:t>
      </w:r>
      <w:r w:rsidR="00426684">
        <w:rPr>
          <w:rFonts w:ascii="Arial" w:eastAsia="宋体" w:hAnsi="Arial" w:cs="Arial"/>
          <w:b/>
          <w:noProof/>
          <w:kern w:val="0"/>
          <w:sz w:val="22"/>
          <w:lang w:val="en-GB"/>
        </w:rPr>
        <w:t>-MT</w:t>
      </w:r>
      <w:r w:rsidR="00917D10">
        <w:rPr>
          <w:rFonts w:ascii="Arial" w:eastAsia="宋体" w:hAnsi="Arial" w:cs="Arial"/>
          <w:b/>
          <w:noProof/>
          <w:kern w:val="0"/>
          <w:sz w:val="22"/>
          <w:lang w:val="en-GB"/>
        </w:rPr>
        <w:t xml:space="preserve"> </w:t>
      </w:r>
      <w:r w:rsidR="00E33C63">
        <w:rPr>
          <w:rFonts w:ascii="Arial" w:eastAsia="宋体" w:hAnsi="Arial" w:cs="Arial"/>
          <w:b/>
          <w:noProof/>
          <w:kern w:val="0"/>
          <w:sz w:val="22"/>
          <w:lang w:val="en-GB"/>
        </w:rPr>
        <w:t>TX power releated requirement</w:t>
      </w:r>
      <w:r w:rsidR="00F341FC">
        <w:rPr>
          <w:rFonts w:ascii="Arial" w:eastAsia="宋体" w:hAnsi="Arial" w:cs="Arial"/>
          <w:b/>
          <w:noProof/>
          <w:kern w:val="0"/>
          <w:sz w:val="22"/>
          <w:lang w:val="en-GB"/>
        </w:rPr>
        <w:t>s</w:t>
      </w:r>
      <w:r w:rsidR="00FC5474">
        <w:rPr>
          <w:rFonts w:ascii="Arial" w:eastAsia="宋体" w:hAnsi="Arial" w:cs="Arial"/>
          <w:b/>
          <w:noProof/>
          <w:kern w:val="0"/>
          <w:sz w:val="22"/>
          <w:lang w:val="en-GB"/>
        </w:rPr>
        <w:t xml:space="preserve">  </w:t>
      </w:r>
    </w:p>
    <w:p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501873" w:rsidRPr="006743CD" w:rsidRDefault="00E267CF" w:rsidP="00E33C63">
      <w:pPr>
        <w:rPr>
          <w:sz w:val="20"/>
          <w:szCs w:val="20"/>
        </w:rPr>
      </w:pPr>
      <w:r w:rsidRPr="006743CD">
        <w:rPr>
          <w:sz w:val="20"/>
          <w:szCs w:val="20"/>
        </w:rPr>
        <w:t>In [1] the exception list agreed for IAB remaining issues, in which the TX power related topics includes:</w:t>
      </w:r>
    </w:p>
    <w:p w:rsidR="00E33C63" w:rsidRPr="006743CD" w:rsidRDefault="00E33C63" w:rsidP="007D4B8A">
      <w:pPr>
        <w:pStyle w:val="a5"/>
        <w:numPr>
          <w:ilvl w:val="0"/>
          <w:numId w:val="11"/>
        </w:numPr>
        <w:ind w:firstLineChars="0"/>
        <w:rPr>
          <w:rFonts w:asciiTheme="minorHAnsi" w:eastAsiaTheme="minorEastAsia" w:hAnsiTheme="minorHAnsi" w:cstheme="minorBidi"/>
          <w:kern w:val="2"/>
          <w:sz w:val="20"/>
          <w:szCs w:val="20"/>
        </w:rPr>
      </w:pPr>
      <w:r w:rsidRPr="006743CD">
        <w:rPr>
          <w:rFonts w:asciiTheme="minorHAnsi" w:eastAsiaTheme="minorEastAsia" w:hAnsiTheme="minorHAnsi" w:cstheme="minorBidi" w:hint="eastAsia"/>
          <w:kern w:val="2"/>
          <w:sz w:val="20"/>
          <w:szCs w:val="20"/>
        </w:rPr>
        <w:t>I</w:t>
      </w:r>
      <w:r w:rsidRPr="006743CD">
        <w:rPr>
          <w:rFonts w:asciiTheme="minorHAnsi" w:eastAsiaTheme="minorEastAsia" w:hAnsiTheme="minorHAnsi" w:cstheme="minorBidi"/>
          <w:kern w:val="2"/>
          <w:sz w:val="20"/>
          <w:szCs w:val="20"/>
        </w:rPr>
        <w:t>AB-MT Tx power</w:t>
      </w:r>
    </w:p>
    <w:p w:rsidR="00E33C63" w:rsidRPr="006743CD" w:rsidRDefault="00E33C63" w:rsidP="007D4B8A">
      <w:pPr>
        <w:pStyle w:val="a5"/>
        <w:numPr>
          <w:ilvl w:val="0"/>
          <w:numId w:val="12"/>
        </w:numPr>
        <w:ind w:firstLineChars="0"/>
        <w:rPr>
          <w:rFonts w:asciiTheme="minorHAnsi" w:eastAsiaTheme="minorEastAsia" w:hAnsiTheme="minorHAnsi" w:cstheme="minorBidi"/>
          <w:kern w:val="2"/>
          <w:sz w:val="20"/>
          <w:szCs w:val="20"/>
        </w:rPr>
      </w:pPr>
      <w:r w:rsidRPr="006743CD">
        <w:rPr>
          <w:rFonts w:asciiTheme="minorHAnsi" w:eastAsiaTheme="minorEastAsia" w:hAnsiTheme="minorHAnsi" w:cstheme="minorBidi"/>
          <w:kern w:val="2"/>
          <w:sz w:val="20"/>
          <w:szCs w:val="20"/>
        </w:rPr>
        <w:t>Maximum output power for LA IAB-MT type 1-H</w:t>
      </w:r>
    </w:p>
    <w:p w:rsidR="00E33C63" w:rsidRPr="006743CD" w:rsidRDefault="00E33C63" w:rsidP="007D4B8A">
      <w:pPr>
        <w:pStyle w:val="a5"/>
        <w:numPr>
          <w:ilvl w:val="0"/>
          <w:numId w:val="11"/>
        </w:numPr>
        <w:ind w:firstLineChars="0"/>
        <w:rPr>
          <w:rFonts w:asciiTheme="minorHAnsi" w:eastAsiaTheme="minorEastAsia" w:hAnsiTheme="minorHAnsi" w:cstheme="minorBidi"/>
          <w:kern w:val="2"/>
          <w:sz w:val="20"/>
          <w:szCs w:val="20"/>
        </w:rPr>
      </w:pPr>
      <w:r w:rsidRPr="006743CD">
        <w:rPr>
          <w:rFonts w:asciiTheme="minorHAnsi" w:eastAsiaTheme="minorEastAsia" w:hAnsiTheme="minorHAnsi" w:cstheme="minorBidi" w:hint="eastAsia"/>
          <w:kern w:val="2"/>
          <w:sz w:val="20"/>
          <w:szCs w:val="20"/>
        </w:rPr>
        <w:t>I</w:t>
      </w:r>
      <w:r w:rsidRPr="006743CD">
        <w:rPr>
          <w:rFonts w:asciiTheme="minorHAnsi" w:eastAsiaTheme="minorEastAsia" w:hAnsiTheme="minorHAnsi" w:cstheme="minorBidi"/>
          <w:kern w:val="2"/>
          <w:sz w:val="20"/>
          <w:szCs w:val="20"/>
        </w:rPr>
        <w:t>AB-MT output power dynamics</w:t>
      </w:r>
    </w:p>
    <w:p w:rsidR="00E33C63" w:rsidRPr="006743CD" w:rsidRDefault="00E33C63" w:rsidP="007D4B8A">
      <w:pPr>
        <w:pStyle w:val="a5"/>
        <w:numPr>
          <w:ilvl w:val="0"/>
          <w:numId w:val="13"/>
        </w:numPr>
        <w:ind w:firstLineChars="0"/>
        <w:rPr>
          <w:rFonts w:asciiTheme="minorHAnsi" w:eastAsiaTheme="minorEastAsia" w:hAnsiTheme="minorHAnsi" w:cstheme="minorBidi"/>
          <w:kern w:val="2"/>
          <w:sz w:val="20"/>
          <w:szCs w:val="20"/>
        </w:rPr>
      </w:pPr>
      <w:r w:rsidRPr="006743CD">
        <w:rPr>
          <w:rFonts w:asciiTheme="minorHAnsi" w:eastAsiaTheme="minorEastAsia" w:hAnsiTheme="minorHAnsi" w:cstheme="minorBidi"/>
          <w:kern w:val="2"/>
          <w:sz w:val="20"/>
          <w:szCs w:val="20"/>
        </w:rPr>
        <w:t>Side condition for the dynamic range definition</w:t>
      </w:r>
    </w:p>
    <w:p w:rsidR="00F341FC" w:rsidRPr="006743CD" w:rsidRDefault="00E33C63" w:rsidP="007D4B8A">
      <w:pPr>
        <w:pStyle w:val="a5"/>
        <w:numPr>
          <w:ilvl w:val="0"/>
          <w:numId w:val="13"/>
        </w:numPr>
        <w:ind w:firstLineChars="0"/>
        <w:rPr>
          <w:rFonts w:asciiTheme="minorHAnsi" w:eastAsiaTheme="minorEastAsia" w:hAnsiTheme="minorHAnsi" w:cstheme="minorBidi"/>
          <w:kern w:val="2"/>
          <w:sz w:val="20"/>
          <w:szCs w:val="20"/>
        </w:rPr>
      </w:pPr>
      <w:r w:rsidRPr="006743CD">
        <w:rPr>
          <w:rFonts w:asciiTheme="minorHAnsi" w:eastAsiaTheme="minorEastAsia" w:hAnsiTheme="minorHAnsi" w:cstheme="minorBidi"/>
          <w:kern w:val="2"/>
          <w:sz w:val="20"/>
          <w:szCs w:val="20"/>
        </w:rPr>
        <w:t>Power control for LA IAB-MT</w:t>
      </w:r>
    </w:p>
    <w:p w:rsidR="00E33C63" w:rsidRPr="006743CD" w:rsidRDefault="00E33C63" w:rsidP="007D4B8A">
      <w:pPr>
        <w:pStyle w:val="a5"/>
        <w:numPr>
          <w:ilvl w:val="0"/>
          <w:numId w:val="13"/>
        </w:numPr>
        <w:ind w:firstLineChars="0"/>
        <w:rPr>
          <w:rFonts w:asciiTheme="minorHAnsi" w:eastAsiaTheme="minorEastAsia" w:hAnsiTheme="minorHAnsi" w:cstheme="minorBidi"/>
          <w:kern w:val="2"/>
          <w:sz w:val="20"/>
          <w:szCs w:val="20"/>
        </w:rPr>
      </w:pPr>
      <w:r w:rsidRPr="006743CD">
        <w:rPr>
          <w:rFonts w:asciiTheme="minorHAnsi" w:eastAsiaTheme="minorEastAsia" w:hAnsiTheme="minorHAnsi" w:cstheme="minorBidi"/>
          <w:kern w:val="2"/>
          <w:sz w:val="20"/>
          <w:szCs w:val="20"/>
        </w:rPr>
        <w:t>Finalization of P</w:t>
      </w:r>
      <w:r w:rsidRPr="006743CD">
        <w:rPr>
          <w:rFonts w:asciiTheme="minorHAnsi" w:eastAsiaTheme="minorEastAsia" w:hAnsiTheme="minorHAnsi" w:cstheme="minorBidi"/>
          <w:kern w:val="2"/>
          <w:sz w:val="20"/>
          <w:szCs w:val="20"/>
          <w:vertAlign w:val="subscript"/>
        </w:rPr>
        <w:t>cmax,f,c</w:t>
      </w:r>
    </w:p>
    <w:p w:rsidR="00E33C63" w:rsidRPr="006743CD" w:rsidRDefault="00F341FC" w:rsidP="00DF5202">
      <w:pPr>
        <w:rPr>
          <w:sz w:val="20"/>
          <w:szCs w:val="20"/>
        </w:rPr>
      </w:pPr>
      <w:r w:rsidRPr="006743CD">
        <w:rPr>
          <w:rFonts w:hint="eastAsia"/>
          <w:sz w:val="20"/>
          <w:szCs w:val="20"/>
        </w:rPr>
        <w:t>T</w:t>
      </w:r>
      <w:r w:rsidRPr="006743CD">
        <w:rPr>
          <w:sz w:val="20"/>
          <w:szCs w:val="20"/>
        </w:rPr>
        <w:t xml:space="preserve">his contribution provides our views on those open issues. </w:t>
      </w:r>
    </w:p>
    <w:p w:rsidR="002A5A60" w:rsidRDefault="00EF284B" w:rsidP="002A5A60">
      <w:pPr>
        <w:pStyle w:val="1"/>
        <w:rPr>
          <w:rFonts w:cs="Arial"/>
          <w:lang w:eastAsia="zh-CN"/>
        </w:rPr>
      </w:pPr>
      <w:r>
        <w:rPr>
          <w:rFonts w:cs="Arial"/>
          <w:lang w:eastAsia="zh-CN"/>
        </w:rPr>
        <w:t xml:space="preserve">Discussion </w:t>
      </w:r>
    </w:p>
    <w:p w:rsidR="003C38C2" w:rsidRPr="00C75C7E" w:rsidRDefault="009F2444" w:rsidP="00DF5202">
      <w:pPr>
        <w:rPr>
          <w:b/>
          <w:sz w:val="20"/>
          <w:szCs w:val="20"/>
          <w:lang w:val="en-GB"/>
        </w:rPr>
      </w:pPr>
      <w:r w:rsidRPr="00C75C7E">
        <w:rPr>
          <w:b/>
          <w:sz w:val="20"/>
          <w:szCs w:val="20"/>
          <w:lang w:val="en-GB"/>
        </w:rPr>
        <w:t>IAB-MT Tx power</w:t>
      </w:r>
    </w:p>
    <w:p w:rsidR="009F2444" w:rsidRPr="00C75C7E" w:rsidRDefault="009F2444" w:rsidP="00DF5202">
      <w:pPr>
        <w:rPr>
          <w:sz w:val="20"/>
          <w:szCs w:val="20"/>
          <w:lang w:val="en-GB"/>
        </w:rPr>
      </w:pPr>
      <w:r w:rsidRPr="00C75C7E">
        <w:rPr>
          <w:sz w:val="20"/>
          <w:szCs w:val="20"/>
          <w:lang w:val="en-GB"/>
        </w:rPr>
        <w:t xml:space="preserve">Even though the Tx power for both LA IAB-MT type 1-H and type 1-O are still open. The discussion is converged to refer to NR gNB approach on conducted upper limit </w:t>
      </w:r>
      <w:r w:rsidR="00C67C0E" w:rsidRPr="00C75C7E">
        <w:rPr>
          <w:sz w:val="20"/>
          <w:szCs w:val="20"/>
          <w:lang w:val="en-GB"/>
        </w:rPr>
        <w:t xml:space="preserve">especially </w:t>
      </w:r>
      <w:r w:rsidRPr="00C75C7E">
        <w:rPr>
          <w:sz w:val="20"/>
          <w:szCs w:val="20"/>
          <w:lang w:val="en-GB"/>
        </w:rPr>
        <w:t>with scaling factor</w:t>
      </w:r>
      <w:r w:rsidR="00C67C0E" w:rsidRPr="00C75C7E">
        <w:rPr>
          <w:sz w:val="20"/>
          <w:szCs w:val="20"/>
          <w:lang w:val="en-GB"/>
        </w:rPr>
        <w:t xml:space="preserve"> for type 1-H on</w:t>
      </w:r>
      <w:r w:rsidR="002D77F6" w:rsidRPr="00C75C7E">
        <w:rPr>
          <w:sz w:val="20"/>
          <w:szCs w:val="20"/>
          <w:lang w:val="en-GB"/>
        </w:rPr>
        <w:t xml:space="preserve"> </w:t>
      </w:r>
      <w:r w:rsidR="002D77F6" w:rsidRPr="00C75C7E">
        <w:rPr>
          <w:rFonts w:eastAsia="MS Mincho"/>
          <w:sz w:val="20"/>
          <w:szCs w:val="20"/>
          <w:lang w:eastAsia="ja-JP"/>
        </w:rPr>
        <w:t>N</w:t>
      </w:r>
      <w:r w:rsidR="002D77F6" w:rsidRPr="00C75C7E">
        <w:rPr>
          <w:rFonts w:eastAsia="MS Mincho"/>
          <w:sz w:val="20"/>
          <w:szCs w:val="20"/>
          <w:vertAlign w:val="subscript"/>
          <w:lang w:eastAsia="ja-JP"/>
        </w:rPr>
        <w:t>TXU,counted</w:t>
      </w:r>
      <w:r w:rsidR="002D77F6" w:rsidRPr="00C75C7E">
        <w:rPr>
          <w:sz w:val="20"/>
          <w:szCs w:val="20"/>
          <w:lang w:val="en-GB"/>
        </w:rPr>
        <w:t xml:space="preserve"> with below formula defined in TS38.104. </w:t>
      </w:r>
    </w:p>
    <w:p w:rsidR="002D77F6" w:rsidRDefault="002D77F6" w:rsidP="00DF5202">
      <w:pPr>
        <w:rPr>
          <w:lang w:val="en-GB"/>
        </w:rPr>
      </w:pPr>
      <w:r>
        <w:rPr>
          <w:noProof/>
        </w:rPr>
        <mc:AlternateContent>
          <mc:Choice Requires="wps">
            <w:drawing>
              <wp:anchor distT="0" distB="0" distL="114300" distR="114300" simplePos="0" relativeHeight="251659264" behindDoc="0" locked="0" layoutInCell="1" allowOverlap="1">
                <wp:simplePos x="0" y="0"/>
                <wp:positionH relativeFrom="column">
                  <wp:posOffset>-304800</wp:posOffset>
                </wp:positionH>
                <wp:positionV relativeFrom="paragraph">
                  <wp:posOffset>86360</wp:posOffset>
                </wp:positionV>
                <wp:extent cx="7073900" cy="736600"/>
                <wp:effectExtent l="0" t="0" r="12700" b="25400"/>
                <wp:wrapNone/>
                <wp:docPr id="1" name="矩形 1"/>
                <wp:cNvGraphicFramePr/>
                <a:graphic xmlns:a="http://schemas.openxmlformats.org/drawingml/2006/main">
                  <a:graphicData uri="http://schemas.microsoft.com/office/word/2010/wordprocessingShape">
                    <wps:wsp>
                      <wps:cNvSpPr/>
                      <wps:spPr>
                        <a:xfrm>
                          <a:off x="0" y="0"/>
                          <a:ext cx="7073900" cy="7366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A7E722" id="矩形 1" o:spid="_x0000_s1026" style="position:absolute;left:0;text-align:left;margin-left:-24pt;margin-top:6.8pt;width:557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" filled="f" strokecolor="black [3213]" strokeweight=".25pt"/>
            </w:pict>
          </mc:Fallback>
        </mc:AlternateContent>
      </w:r>
    </w:p>
    <w:p w:rsidR="002D77F6" w:rsidRPr="00F95B02" w:rsidRDefault="002D77F6" w:rsidP="002D77F6">
      <w:pPr>
        <w:pStyle w:val="B10"/>
        <w:rPr>
          <w:lang w:eastAsia="ja-JP"/>
        </w:rPr>
      </w:pPr>
      <w:r w:rsidRPr="00F95B02">
        <w:rPr>
          <w:rFonts w:eastAsia="MS Mincho"/>
          <w:lang w:eastAsia="ja-JP"/>
        </w:rPr>
        <w:tab/>
        <w:t>N</w:t>
      </w:r>
      <w:r w:rsidRPr="00F95B02">
        <w:rPr>
          <w:rFonts w:eastAsia="MS Mincho"/>
          <w:vertAlign w:val="subscript"/>
          <w:lang w:eastAsia="ja-JP"/>
        </w:rPr>
        <w:t>TXU,counted</w:t>
      </w:r>
      <w:r w:rsidRPr="00F95B02">
        <w:rPr>
          <w:lang w:eastAsia="ja-JP"/>
        </w:rPr>
        <w:t xml:space="preserve"> = </w:t>
      </w:r>
      <w:r w:rsidRPr="00F95B02">
        <w:rPr>
          <w:i/>
          <w:lang w:eastAsia="ja-JP"/>
        </w:rPr>
        <w:t>min(N</w:t>
      </w:r>
      <w:r w:rsidRPr="00F95B02">
        <w:rPr>
          <w:i/>
          <w:vertAlign w:val="subscript"/>
          <w:lang w:eastAsia="ja-JP"/>
        </w:rPr>
        <w:t>TXU,active</w:t>
      </w:r>
      <w:r w:rsidRPr="00F95B02">
        <w:rPr>
          <w:i/>
          <w:lang w:eastAsia="ja-JP"/>
        </w:rPr>
        <w:t xml:space="preserve"> , 8×N</w:t>
      </w:r>
      <w:r w:rsidRPr="00F95B02">
        <w:rPr>
          <w:i/>
          <w:vertAlign w:val="subscript"/>
          <w:lang w:eastAsia="ja-JP"/>
        </w:rPr>
        <w:t>cells</w:t>
      </w:r>
      <w:r w:rsidRPr="00F95B02">
        <w:rPr>
          <w:i/>
          <w:lang w:eastAsia="ja-JP"/>
        </w:rPr>
        <w:t>)</w:t>
      </w:r>
    </w:p>
    <w:p w:rsidR="002D77F6" w:rsidRPr="00F95B02" w:rsidRDefault="002D77F6" w:rsidP="002D77F6">
      <w:pPr>
        <w:pStyle w:val="NO"/>
        <w:rPr>
          <w:i/>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p>
    <w:p w:rsidR="00C31FAB" w:rsidRPr="00C75C7E" w:rsidRDefault="00B043A6" w:rsidP="00C31FAB">
      <w:pPr>
        <w:rPr>
          <w:sz w:val="20"/>
          <w:szCs w:val="20"/>
        </w:rPr>
      </w:pPr>
      <w:r w:rsidRPr="00C75C7E">
        <w:rPr>
          <w:sz w:val="20"/>
          <w:szCs w:val="20"/>
          <w:lang w:val="en-GB"/>
        </w:rPr>
        <w:t>The open issue on IAB-MT type 1-H is which conducted power cap,</w:t>
      </w:r>
      <w:r w:rsidR="006743CD">
        <w:rPr>
          <w:sz w:val="20"/>
          <w:szCs w:val="20"/>
          <w:lang w:val="en-GB"/>
        </w:rPr>
        <w:t xml:space="preserve"> </w:t>
      </w:r>
      <w:r w:rsidRPr="00C75C7E">
        <w:rPr>
          <w:sz w:val="20"/>
          <w:szCs w:val="20"/>
          <w:lang w:val="en-GB"/>
        </w:rPr>
        <w:t xml:space="preserve">i.e., </w:t>
      </w:r>
      <w:r w:rsidR="00C31FAB" w:rsidRPr="00C75C7E">
        <w:rPr>
          <w:sz w:val="20"/>
          <w:szCs w:val="20"/>
        </w:rPr>
        <w:t>Medium Range BS or Local Area BS,</w:t>
      </w:r>
      <w:r w:rsidR="00C31FAB" w:rsidRPr="00C75C7E">
        <w:rPr>
          <w:sz w:val="20"/>
          <w:szCs w:val="20"/>
          <w:lang w:val="en-GB"/>
        </w:rPr>
        <w:t xml:space="preserve"> to be utilized. It is agreed in RAN4#95e on IAB-MT classification as “</w:t>
      </w:r>
      <w:r w:rsidR="00C31FAB" w:rsidRPr="00C75C7E">
        <w:rPr>
          <w:sz w:val="20"/>
          <w:szCs w:val="20"/>
        </w:rPr>
        <w:t xml:space="preserve">Local Area IAB-MT nodes are characterized by requirements derived from Pico Cell and /or Micro Cell scenarios.” Hence it is suggested to reuse the limit of Medium Range BS as below for LA IAB-MT type 1-H. With such definition the flexibility and inheritability can be ensured for IAB-MT design. Since this is just as upper limit and the exact number can be lower than this.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7"/>
        <w:gridCol w:w="2573"/>
        <w:gridCol w:w="1027"/>
      </w:tblGrid>
      <w:tr w:rsidR="00C31FAB" w:rsidRPr="00F95B02" w:rsidTr="00B51592">
        <w:trPr>
          <w:tblHeader/>
          <w:jc w:val="center"/>
        </w:trPr>
        <w:tc>
          <w:tcPr>
            <w:tcW w:w="0" w:type="auto"/>
            <w:hideMark/>
          </w:tcPr>
          <w:p w:rsidR="00C31FAB" w:rsidRPr="00F95B02" w:rsidRDefault="00C31FAB" w:rsidP="00B51592">
            <w:pPr>
              <w:pStyle w:val="TAH"/>
            </w:pPr>
            <w:r>
              <w:t>IAB MT</w:t>
            </w:r>
            <w:r w:rsidRPr="00F95B02">
              <w:t xml:space="preserve"> class</w:t>
            </w:r>
          </w:p>
        </w:tc>
        <w:tc>
          <w:tcPr>
            <w:tcW w:w="0" w:type="auto"/>
            <w:hideMark/>
          </w:tcPr>
          <w:p w:rsidR="00C31FAB" w:rsidRPr="00F95B02" w:rsidRDefault="00C31FAB" w:rsidP="00B51592">
            <w:pPr>
              <w:pStyle w:val="TAH"/>
            </w:pPr>
            <w:r w:rsidRPr="00F95B02">
              <w:t>P</w:t>
            </w:r>
            <w:r w:rsidRPr="00F95B02">
              <w:rPr>
                <w:vertAlign w:val="subscript"/>
              </w:rPr>
              <w:t>rated,c,sys</w:t>
            </w:r>
          </w:p>
        </w:tc>
        <w:tc>
          <w:tcPr>
            <w:tcW w:w="0" w:type="auto"/>
          </w:tcPr>
          <w:p w:rsidR="00C31FAB" w:rsidRPr="00F95B02" w:rsidRDefault="00C31FAB" w:rsidP="00B51592">
            <w:pPr>
              <w:pStyle w:val="TAH"/>
            </w:pPr>
            <w:r w:rsidRPr="00F95B02">
              <w:t>P</w:t>
            </w:r>
            <w:r w:rsidRPr="00F95B02">
              <w:rPr>
                <w:vertAlign w:val="subscript"/>
              </w:rPr>
              <w:t>rated,c,TABC</w:t>
            </w:r>
          </w:p>
        </w:tc>
      </w:tr>
      <w:tr w:rsidR="00C31FAB" w:rsidRPr="00F95B02" w:rsidTr="00B51592">
        <w:trPr>
          <w:jc w:val="center"/>
        </w:trPr>
        <w:tc>
          <w:tcPr>
            <w:tcW w:w="0" w:type="auto"/>
            <w:hideMark/>
          </w:tcPr>
          <w:p w:rsidR="00C31FAB" w:rsidRPr="00F95B02" w:rsidRDefault="00C31FAB" w:rsidP="00C31FAB">
            <w:pPr>
              <w:pStyle w:val="TAC"/>
            </w:pPr>
            <w:r>
              <w:t>Local Area</w:t>
            </w:r>
            <w:r w:rsidRPr="00F95B02">
              <w:t xml:space="preserve"> </w:t>
            </w:r>
            <w:r>
              <w:t>IAB-MT</w:t>
            </w:r>
          </w:p>
        </w:tc>
        <w:tc>
          <w:tcPr>
            <w:tcW w:w="0" w:type="auto"/>
            <w:hideMark/>
          </w:tcPr>
          <w:p w:rsidR="00C31FAB" w:rsidRPr="00F95B02" w:rsidRDefault="00C31FAB" w:rsidP="00B51592">
            <w:pPr>
              <w:pStyle w:val="TAC"/>
              <w:rPr>
                <w:lang w:eastAsia="ja-JP"/>
              </w:rPr>
            </w:pPr>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C31FAB" w:rsidRPr="00F95B02" w:rsidRDefault="00C31FAB" w:rsidP="00B51592">
            <w:pPr>
              <w:pStyle w:val="TAC"/>
              <w:rPr>
                <w:lang w:eastAsia="ja-JP"/>
              </w:rPr>
            </w:pPr>
            <w:r w:rsidRPr="00F95B02">
              <w:rPr>
                <w:rFonts w:hint="eastAsia"/>
                <w:lang w:eastAsia="ja-JP"/>
              </w:rPr>
              <w:t>≤</w:t>
            </w:r>
            <w:r w:rsidRPr="00F95B02">
              <w:rPr>
                <w:lang w:eastAsia="ja-JP"/>
              </w:rPr>
              <w:t xml:space="preserve"> 38 dBm</w:t>
            </w:r>
          </w:p>
        </w:tc>
      </w:tr>
    </w:tbl>
    <w:p w:rsidR="00C31FAB" w:rsidRPr="00C31FAB" w:rsidRDefault="00C31FAB" w:rsidP="00C31FAB">
      <w:pPr>
        <w:rPr>
          <w:lang w:val="en-GB"/>
        </w:rPr>
      </w:pPr>
    </w:p>
    <w:p w:rsidR="00C31FAB" w:rsidRPr="00C75C7E" w:rsidRDefault="00C31FAB" w:rsidP="00DF5202">
      <w:pPr>
        <w:rPr>
          <w:sz w:val="20"/>
          <w:szCs w:val="20"/>
        </w:rPr>
      </w:pPr>
      <w:r w:rsidRPr="00C75C7E">
        <w:rPr>
          <w:rFonts w:hint="eastAsia"/>
          <w:b/>
          <w:sz w:val="20"/>
          <w:szCs w:val="20"/>
        </w:rPr>
        <w:t>P</w:t>
      </w:r>
      <w:r w:rsidRPr="00C75C7E">
        <w:rPr>
          <w:b/>
          <w:sz w:val="20"/>
          <w:szCs w:val="20"/>
        </w:rPr>
        <w:t>roposal 1</w:t>
      </w:r>
      <w:r w:rsidRPr="00C75C7E">
        <w:rPr>
          <w:sz w:val="20"/>
          <w:szCs w:val="20"/>
        </w:rPr>
        <w:t xml:space="preserve">: </w:t>
      </w:r>
      <w:r w:rsidR="00C67C0E" w:rsidRPr="00C75C7E">
        <w:rPr>
          <w:sz w:val="20"/>
          <w:szCs w:val="20"/>
        </w:rPr>
        <w:t>P</w:t>
      </w:r>
      <w:r w:rsidR="00C67C0E" w:rsidRPr="00C75C7E">
        <w:rPr>
          <w:sz w:val="20"/>
          <w:szCs w:val="20"/>
          <w:vertAlign w:val="subscript"/>
        </w:rPr>
        <w:t>rated,c,TABC</w:t>
      </w:r>
      <w:r w:rsidR="00C67C0E" w:rsidRPr="00C75C7E">
        <w:rPr>
          <w:sz w:val="20"/>
          <w:szCs w:val="20"/>
        </w:rPr>
        <w:t xml:space="preserve"> for LA IAB-MT type 1-H is suggested to be defined as 38dBm. </w:t>
      </w:r>
    </w:p>
    <w:p w:rsidR="00523773" w:rsidRPr="00C75C7E" w:rsidRDefault="00523773" w:rsidP="00523773">
      <w:r w:rsidRPr="00CA33C8">
        <w:rPr>
          <w:rFonts w:hint="eastAsia"/>
          <w:b/>
        </w:rPr>
        <w:t>P</w:t>
      </w:r>
      <w:r w:rsidRPr="00CA33C8">
        <w:rPr>
          <w:b/>
        </w:rPr>
        <w:t>roposal 2</w:t>
      </w:r>
      <w:r>
        <w:t xml:space="preserve">: The scaling factor of basic limit for LA gNB type 1-H is applied for LA IAB-MT type 1-H. </w:t>
      </w:r>
    </w:p>
    <w:p w:rsidR="00CA33C8" w:rsidRPr="00523773" w:rsidRDefault="00CA33C8" w:rsidP="00DF5202">
      <w:pPr>
        <w:rPr>
          <w:sz w:val="20"/>
          <w:szCs w:val="20"/>
        </w:rPr>
      </w:pPr>
    </w:p>
    <w:p w:rsidR="00C67C0E" w:rsidRPr="00C75C7E" w:rsidRDefault="00C67C0E" w:rsidP="00DF5202">
      <w:pPr>
        <w:rPr>
          <w:sz w:val="20"/>
          <w:szCs w:val="20"/>
        </w:rPr>
      </w:pPr>
      <w:r w:rsidRPr="00C75C7E">
        <w:rPr>
          <w:sz w:val="20"/>
          <w:szCs w:val="20"/>
        </w:rPr>
        <w:t xml:space="preserve">For LA IAB-MT type 1-O, it’s overserved that no objection on the proposal that no minimum TXU # to be defined. </w:t>
      </w:r>
      <w:r w:rsidR="00CE4393" w:rsidRPr="00C75C7E">
        <w:rPr>
          <w:sz w:val="20"/>
          <w:szCs w:val="20"/>
        </w:rPr>
        <w:t xml:space="preserve">For gNB type 1-O, </w:t>
      </w:r>
      <w:r w:rsidR="00CE4393" w:rsidRPr="00C75C7E">
        <w:rPr>
          <w:sz w:val="20"/>
          <w:szCs w:val="20"/>
          <w:lang w:eastAsia="ja-JP"/>
        </w:rPr>
        <w:t>it inherits the minimum number of TRXUs from OTA AAS BS architecture to allow the emissions scaling factor to be fixed</w:t>
      </w:r>
      <w:r w:rsidR="00D87D2C" w:rsidRPr="00C75C7E">
        <w:rPr>
          <w:sz w:val="20"/>
          <w:szCs w:val="20"/>
          <w:lang w:eastAsia="ja-JP"/>
        </w:rPr>
        <w:t xml:space="preserve"> and align with LTE legacy BS</w:t>
      </w:r>
      <w:r w:rsidR="00CE4393" w:rsidRPr="00C75C7E">
        <w:rPr>
          <w:sz w:val="20"/>
          <w:szCs w:val="20"/>
          <w:lang w:eastAsia="ja-JP"/>
        </w:rPr>
        <w:t xml:space="preserve">. </w:t>
      </w:r>
      <w:r w:rsidR="00CE4393" w:rsidRPr="00C75C7E">
        <w:rPr>
          <w:sz w:val="20"/>
          <w:szCs w:val="20"/>
        </w:rPr>
        <w:t xml:space="preserve">For IAB-MT the active TRXU for OTA case should be still difficult to verify since the same reason of without ability to </w:t>
      </w:r>
      <w:r w:rsidR="00D87D2C" w:rsidRPr="00C75C7E">
        <w:rPr>
          <w:sz w:val="20"/>
          <w:szCs w:val="20"/>
        </w:rPr>
        <w:t>count as TAB connector. Hence it is suggested not to consider active TRXU# in LA IAB-MT type 1-O radiated power definition. Rather than that, the legacy Medium Range BS TRP upper limit is proposed to be applied for IAB-MT type 1-O, which implies that the scaling factor of 8 is suggested to be adopted for LA IAB-MT as well for type 1-O</w:t>
      </w:r>
      <w:r w:rsidR="009F54C7" w:rsidRPr="00C75C7E">
        <w:rPr>
          <w:sz w:val="20"/>
          <w:szCs w:val="20"/>
        </w:rPr>
        <w:t xml:space="preserve"> in accordance with IAB-MT type 1-H. </w:t>
      </w:r>
      <w:r w:rsidR="00D87D2C" w:rsidRPr="00C75C7E">
        <w:rPr>
          <w:sz w:val="20"/>
          <w:szCs w:val="20"/>
        </w:rPr>
        <w:t xml:space="preserve"> </w:t>
      </w:r>
      <w:r w:rsidRPr="00C75C7E">
        <w:rPr>
          <w:sz w:val="20"/>
          <w:szCs w:val="20"/>
        </w:rPr>
        <w:t xml:space="preserve">  </w:t>
      </w:r>
    </w:p>
    <w:tbl>
      <w:tblPr>
        <w:tblW w:w="0" w:type="auto"/>
        <w:jc w:val="center"/>
        <w:tblCellMar>
          <w:left w:w="0" w:type="dxa"/>
          <w:right w:w="0" w:type="dxa"/>
        </w:tblCellMar>
        <w:tblLook w:val="04A0" w:firstRow="1" w:lastRow="0" w:firstColumn="1" w:lastColumn="0" w:noHBand="0" w:noVBand="1"/>
      </w:tblPr>
      <w:tblGrid>
        <w:gridCol w:w="2150"/>
        <w:gridCol w:w="4500"/>
      </w:tblGrid>
      <w:tr w:rsidR="00D87D2C" w:rsidRPr="00F95B02" w:rsidTr="00B51592">
        <w:trPr>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87D2C" w:rsidRPr="00F95B02" w:rsidRDefault="00D87D2C" w:rsidP="00B51592">
            <w:pPr>
              <w:pStyle w:val="TAH"/>
            </w:pPr>
            <w:r>
              <w:lastRenderedPageBreak/>
              <w:t>IAB MT</w:t>
            </w:r>
            <w:r w:rsidRPr="00F95B02">
              <w:t xml:space="preserve">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87D2C" w:rsidRPr="00F95B02" w:rsidRDefault="00D87D2C" w:rsidP="00B51592">
            <w:pPr>
              <w:pStyle w:val="TAH"/>
            </w:pPr>
            <w:r w:rsidRPr="00F95B02">
              <w:t>P</w:t>
            </w:r>
            <w:r w:rsidRPr="00F95B02">
              <w:rPr>
                <w:vertAlign w:val="subscript"/>
              </w:rPr>
              <w:t>rated,c,TRP</w:t>
            </w:r>
          </w:p>
        </w:tc>
      </w:tr>
      <w:tr w:rsidR="00D87D2C" w:rsidRPr="00F95B02" w:rsidTr="00B51592">
        <w:trPr>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87D2C" w:rsidRPr="00F95B02" w:rsidRDefault="00E33C26" w:rsidP="00B51592">
            <w:pPr>
              <w:pStyle w:val="TAC"/>
            </w:pPr>
            <w:r>
              <w:t>Local Area</w:t>
            </w:r>
            <w:r w:rsidR="00D87D2C">
              <w:t xml:space="preserve"> IAB-MT</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D87D2C" w:rsidRPr="00F95B02" w:rsidRDefault="00D87D2C" w:rsidP="00B51592">
            <w:pPr>
              <w:pStyle w:val="TAC"/>
            </w:pPr>
            <w:r w:rsidRPr="00F95B02">
              <w:rPr>
                <w:rFonts w:hint="eastAsia"/>
              </w:rPr>
              <w:t>≤</w:t>
            </w:r>
            <w:r w:rsidRPr="00F95B02">
              <w:t xml:space="preserve"> + 47 dBm</w:t>
            </w:r>
          </w:p>
        </w:tc>
      </w:tr>
    </w:tbl>
    <w:p w:rsidR="00D87D2C" w:rsidRPr="00C75C7E" w:rsidRDefault="00D87D2C" w:rsidP="00D87D2C">
      <w:pPr>
        <w:rPr>
          <w:sz w:val="20"/>
          <w:szCs w:val="20"/>
        </w:rPr>
      </w:pPr>
      <w:r w:rsidRPr="00C75C7E">
        <w:rPr>
          <w:rFonts w:hint="eastAsia"/>
          <w:b/>
          <w:sz w:val="20"/>
          <w:szCs w:val="20"/>
        </w:rPr>
        <w:t>P</w:t>
      </w:r>
      <w:r w:rsidRPr="00C75C7E">
        <w:rPr>
          <w:b/>
          <w:sz w:val="20"/>
          <w:szCs w:val="20"/>
        </w:rPr>
        <w:t xml:space="preserve">roposal </w:t>
      </w:r>
      <w:r w:rsidR="00D1592A" w:rsidRPr="00C75C7E">
        <w:rPr>
          <w:b/>
          <w:sz w:val="20"/>
          <w:szCs w:val="20"/>
        </w:rPr>
        <w:t>3</w:t>
      </w:r>
      <w:r w:rsidRPr="00C75C7E">
        <w:rPr>
          <w:sz w:val="20"/>
          <w:szCs w:val="20"/>
        </w:rPr>
        <w:t xml:space="preserve">: TRP upper limit for LA IAB-MT type 1-O is suggested to be defined as 47dBm. </w:t>
      </w:r>
    </w:p>
    <w:p w:rsidR="00D87D2C" w:rsidRPr="00C75C7E" w:rsidRDefault="00D1592A" w:rsidP="00DF5202">
      <w:pPr>
        <w:rPr>
          <w:sz w:val="20"/>
          <w:szCs w:val="20"/>
          <w:lang w:eastAsia="ja-JP"/>
        </w:rPr>
      </w:pPr>
      <w:r w:rsidRPr="00C75C7E">
        <w:rPr>
          <w:b/>
          <w:sz w:val="20"/>
          <w:szCs w:val="20"/>
          <w:lang w:eastAsia="ja-JP"/>
        </w:rPr>
        <w:t>Proposal 4</w:t>
      </w:r>
      <w:r w:rsidRPr="00C75C7E">
        <w:rPr>
          <w:sz w:val="20"/>
          <w:szCs w:val="20"/>
          <w:lang w:eastAsia="ja-JP"/>
        </w:rPr>
        <w:t xml:space="preserve">: </w:t>
      </w:r>
      <w:r w:rsidR="004C5598" w:rsidRPr="00C75C7E">
        <w:rPr>
          <w:sz w:val="20"/>
          <w:szCs w:val="20"/>
          <w:lang w:eastAsia="ja-JP"/>
        </w:rPr>
        <w:t xml:space="preserve">It is suggested to utilize scaling factor 8 of basic limit for IAB-MT type 1-O. </w:t>
      </w:r>
    </w:p>
    <w:p w:rsidR="004C5598" w:rsidRPr="00C75C7E" w:rsidRDefault="004C5598" w:rsidP="004C5598">
      <w:pPr>
        <w:rPr>
          <w:sz w:val="20"/>
          <w:szCs w:val="20"/>
        </w:rPr>
      </w:pPr>
    </w:p>
    <w:p w:rsidR="004C5598" w:rsidRPr="00C75C7E" w:rsidRDefault="004C5598" w:rsidP="004C5598">
      <w:pPr>
        <w:rPr>
          <w:b/>
          <w:sz w:val="20"/>
          <w:szCs w:val="20"/>
        </w:rPr>
      </w:pPr>
      <w:r w:rsidRPr="00C75C7E">
        <w:rPr>
          <w:rFonts w:hint="eastAsia"/>
          <w:b/>
          <w:sz w:val="20"/>
          <w:szCs w:val="20"/>
        </w:rPr>
        <w:t>I</w:t>
      </w:r>
      <w:r w:rsidRPr="00C75C7E">
        <w:rPr>
          <w:b/>
          <w:sz w:val="20"/>
          <w:szCs w:val="20"/>
        </w:rPr>
        <w:t>AB-MT output power dynamics</w:t>
      </w:r>
      <w:r w:rsidR="001202FD" w:rsidRPr="00C75C7E">
        <w:rPr>
          <w:b/>
          <w:sz w:val="20"/>
          <w:szCs w:val="20"/>
        </w:rPr>
        <w:t xml:space="preserve"> </w:t>
      </w:r>
    </w:p>
    <w:p w:rsidR="002E7536" w:rsidRPr="00C75C7E" w:rsidRDefault="009D2301" w:rsidP="004C5598">
      <w:pPr>
        <w:rPr>
          <w:rFonts w:eastAsia="MS Mincho"/>
          <w:sz w:val="20"/>
          <w:szCs w:val="20"/>
          <w:lang w:eastAsia="ja-JP"/>
        </w:rPr>
      </w:pPr>
      <w:r w:rsidRPr="00C75C7E">
        <w:rPr>
          <w:sz w:val="20"/>
          <w:szCs w:val="20"/>
          <w:lang w:eastAsia="ja-JP"/>
        </w:rPr>
        <w:t xml:space="preserve">As summarized in exception list for IAB, the side condition on </w:t>
      </w:r>
      <w:r w:rsidR="00E93CF4" w:rsidRPr="00C75C7E">
        <w:rPr>
          <w:sz w:val="20"/>
          <w:szCs w:val="20"/>
          <w:lang w:eastAsia="ja-JP"/>
        </w:rPr>
        <w:t xml:space="preserve">dynamic PSD(X) and detail on constant PSD(Y) requirement should be discussed and decided in this meeting. </w:t>
      </w:r>
      <w:r w:rsidR="005D13E4" w:rsidRPr="00C75C7E">
        <w:rPr>
          <w:sz w:val="20"/>
          <w:szCs w:val="20"/>
          <w:lang w:eastAsia="ja-JP"/>
        </w:rPr>
        <w:t xml:space="preserve">It’s assumed that even though IAB is new node type to be </w:t>
      </w:r>
      <w:r w:rsidR="00D9290B" w:rsidRPr="00C75C7E">
        <w:rPr>
          <w:sz w:val="20"/>
          <w:szCs w:val="20"/>
          <w:lang w:eastAsia="ja-JP"/>
        </w:rPr>
        <w:t>introduced for NR phase IAB will not start from scratch but leverage on existing gNB and/or UE design as much as possib</w:t>
      </w:r>
      <w:r w:rsidR="007844D9" w:rsidRPr="00C75C7E">
        <w:rPr>
          <w:sz w:val="20"/>
          <w:szCs w:val="20"/>
          <w:lang w:eastAsia="ja-JP"/>
        </w:rPr>
        <w:t xml:space="preserve">le. Hence </w:t>
      </w:r>
      <w:r w:rsidR="00D9290B" w:rsidRPr="00C75C7E">
        <w:rPr>
          <w:sz w:val="20"/>
          <w:szCs w:val="20"/>
          <w:lang w:eastAsia="ja-JP"/>
        </w:rPr>
        <w:t xml:space="preserve">we review on TX dynamic range related requirement for both UE and BS as reference to complete the </w:t>
      </w:r>
      <w:r w:rsidR="002E7536" w:rsidRPr="00C75C7E">
        <w:rPr>
          <w:sz w:val="20"/>
          <w:szCs w:val="20"/>
          <w:lang w:eastAsia="ja-JP"/>
        </w:rPr>
        <w:t>dynamic range requirement</w:t>
      </w:r>
      <w:r w:rsidR="007844D9" w:rsidRPr="00C75C7E">
        <w:rPr>
          <w:sz w:val="20"/>
          <w:szCs w:val="20"/>
          <w:lang w:eastAsia="ja-JP"/>
        </w:rPr>
        <w:t xml:space="preserve"> for IAB-MT</w:t>
      </w:r>
      <w:r w:rsidR="002E7536" w:rsidRPr="00C75C7E">
        <w:rPr>
          <w:sz w:val="20"/>
          <w:szCs w:val="20"/>
          <w:lang w:eastAsia="ja-JP"/>
        </w:rPr>
        <w:t xml:space="preserve">. </w:t>
      </w:r>
    </w:p>
    <w:p w:rsidR="002E7536" w:rsidRPr="00C75C7E" w:rsidRDefault="002E7536" w:rsidP="004C5598">
      <w:pPr>
        <w:rPr>
          <w:sz w:val="20"/>
          <w:szCs w:val="20"/>
        </w:rPr>
      </w:pPr>
      <w:r w:rsidRPr="00C75C7E">
        <w:rPr>
          <w:rFonts w:hint="eastAsia"/>
          <w:sz w:val="20"/>
          <w:szCs w:val="20"/>
        </w:rPr>
        <w:t>F</w:t>
      </w:r>
      <w:r w:rsidRPr="00C75C7E">
        <w:rPr>
          <w:sz w:val="20"/>
          <w:szCs w:val="20"/>
        </w:rPr>
        <w:t xml:space="preserve">or FR2 UE, instead of absolute </w:t>
      </w:r>
      <w:r w:rsidR="00AE52A3" w:rsidRPr="00C75C7E">
        <w:rPr>
          <w:sz w:val="20"/>
          <w:szCs w:val="20"/>
        </w:rPr>
        <w:t>dynamic range</w:t>
      </w:r>
      <w:r w:rsidRPr="00C75C7E">
        <w:rPr>
          <w:sz w:val="20"/>
          <w:szCs w:val="20"/>
        </w:rPr>
        <w:t xml:space="preserve"> there is min Tx power defined with metric of EIRP at the same direction of MOP</w:t>
      </w:r>
      <w:r w:rsidR="00F16DCA" w:rsidRPr="00C75C7E">
        <w:rPr>
          <w:sz w:val="20"/>
          <w:szCs w:val="20"/>
        </w:rPr>
        <w:t xml:space="preserve"> in normal condition</w:t>
      </w:r>
      <w:r w:rsidRPr="00C75C7E">
        <w:rPr>
          <w:sz w:val="20"/>
          <w:szCs w:val="20"/>
        </w:rPr>
        <w:t>. In TS38.521-1, the test for both MOP and min TX power ar</w:t>
      </w:r>
      <w:r w:rsidR="00B9163C" w:rsidRPr="00C75C7E">
        <w:rPr>
          <w:sz w:val="20"/>
          <w:szCs w:val="20"/>
        </w:rPr>
        <w:t xml:space="preserve">e with modulation of </w:t>
      </w:r>
      <w:r w:rsidRPr="00C75C7E">
        <w:rPr>
          <w:sz w:val="20"/>
          <w:szCs w:val="20"/>
        </w:rPr>
        <w:t>(DFT-s-OFDM, QPSK)</w:t>
      </w:r>
      <w:r w:rsidR="00B9163C" w:rsidRPr="00C75C7E">
        <w:rPr>
          <w:sz w:val="20"/>
          <w:szCs w:val="20"/>
        </w:rPr>
        <w:t>.</w:t>
      </w:r>
      <w:r w:rsidR="000A6628" w:rsidRPr="00C75C7E">
        <w:rPr>
          <w:sz w:val="20"/>
          <w:szCs w:val="20"/>
        </w:rPr>
        <w:t xml:space="preserve"> And it is addressed in WF on min TX in study of Rel-15 as “Note: How many # of antenna elements is used to produce the min power is up to UE implementation”. </w:t>
      </w:r>
      <w:r w:rsidR="00FF2F25" w:rsidRPr="00C75C7E">
        <w:rPr>
          <w:sz w:val="20"/>
          <w:szCs w:val="20"/>
        </w:rPr>
        <w:t>Hence for UE it seems there is no constraint on</w:t>
      </w:r>
      <w:r w:rsidR="00CD4BC1" w:rsidRPr="00C75C7E">
        <w:rPr>
          <w:sz w:val="20"/>
          <w:szCs w:val="20"/>
        </w:rPr>
        <w:t xml:space="preserve"> beam property other than beam direction to be tested for min Tx power</w:t>
      </w:r>
      <w:r w:rsidR="004431D0" w:rsidRPr="00C75C7E">
        <w:rPr>
          <w:sz w:val="20"/>
          <w:szCs w:val="20"/>
        </w:rPr>
        <w:t>, which leaves more implementation flexibility to fulfill the requirement</w:t>
      </w:r>
      <w:r w:rsidR="00CD4BC1" w:rsidRPr="00C75C7E">
        <w:rPr>
          <w:sz w:val="20"/>
          <w:szCs w:val="20"/>
        </w:rPr>
        <w:t xml:space="preserve">. </w:t>
      </w:r>
      <w:r w:rsidR="00FF2F25" w:rsidRPr="00C75C7E">
        <w:rPr>
          <w:sz w:val="20"/>
          <w:szCs w:val="20"/>
        </w:rPr>
        <w:t xml:space="preserve"> </w:t>
      </w:r>
    </w:p>
    <w:p w:rsidR="00F16DCA" w:rsidRPr="00C75C7E" w:rsidRDefault="00F16DCA" w:rsidP="004C5598">
      <w:pPr>
        <w:rPr>
          <w:sz w:val="20"/>
          <w:szCs w:val="20"/>
        </w:rPr>
      </w:pPr>
      <w:r w:rsidRPr="00C75C7E">
        <w:rPr>
          <w:sz w:val="20"/>
          <w:szCs w:val="20"/>
        </w:rPr>
        <w:t>For</w:t>
      </w:r>
      <w:r w:rsidR="000A6628" w:rsidRPr="00C75C7E">
        <w:rPr>
          <w:sz w:val="20"/>
          <w:szCs w:val="20"/>
        </w:rPr>
        <w:t xml:space="preserve"> </w:t>
      </w:r>
      <w:r w:rsidR="000C3F1F" w:rsidRPr="00C75C7E">
        <w:rPr>
          <w:sz w:val="20"/>
          <w:szCs w:val="20"/>
        </w:rPr>
        <w:t xml:space="preserve">gNB, the total </w:t>
      </w:r>
      <w:r w:rsidR="000A6628" w:rsidRPr="00C75C7E">
        <w:rPr>
          <w:sz w:val="20"/>
          <w:szCs w:val="20"/>
        </w:rPr>
        <w:t xml:space="preserve">power </w:t>
      </w:r>
      <w:r w:rsidR="000C3F1F" w:rsidRPr="00C75C7E">
        <w:rPr>
          <w:sz w:val="20"/>
          <w:szCs w:val="20"/>
        </w:rPr>
        <w:t xml:space="preserve">dynamic range is defined as </w:t>
      </w:r>
      <w:r w:rsidR="000A6628" w:rsidRPr="00C75C7E">
        <w:rPr>
          <w:sz w:val="20"/>
          <w:szCs w:val="20"/>
        </w:rPr>
        <w:t xml:space="preserve">below. It’s clear that the </w:t>
      </w:r>
      <w:r w:rsidR="007E619A" w:rsidRPr="00C75C7E">
        <w:rPr>
          <w:sz w:val="20"/>
          <w:szCs w:val="20"/>
        </w:rPr>
        <w:t xml:space="preserve">beam to be tested for gNB total dynamic range is in the </w:t>
      </w:r>
      <w:r w:rsidR="007E619A" w:rsidRPr="00C75C7E">
        <w:rPr>
          <w:b/>
          <w:sz w:val="20"/>
          <w:szCs w:val="20"/>
        </w:rPr>
        <w:t>same direction</w:t>
      </w:r>
      <w:r w:rsidR="007E619A" w:rsidRPr="00C75C7E">
        <w:rPr>
          <w:sz w:val="20"/>
          <w:szCs w:val="20"/>
        </w:rPr>
        <w:t xml:space="preserve"> using the</w:t>
      </w:r>
      <w:r w:rsidR="007E619A" w:rsidRPr="00C75C7E">
        <w:rPr>
          <w:b/>
          <w:sz w:val="20"/>
          <w:szCs w:val="20"/>
        </w:rPr>
        <w:t xml:space="preserve"> same beam</w:t>
      </w:r>
      <w:r w:rsidR="007E619A" w:rsidRPr="00C75C7E">
        <w:rPr>
          <w:sz w:val="20"/>
          <w:szCs w:val="20"/>
        </w:rPr>
        <w:t xml:space="preserve"> of maximum carrier EIRP. </w:t>
      </w:r>
    </w:p>
    <w:p w:rsidR="000C3F1F" w:rsidRPr="000A6628" w:rsidRDefault="007E619A" w:rsidP="000C3F1F">
      <w:pPr>
        <w:rPr>
          <w:rFonts w:ascii="Times New Roman" w:hAnsi="Times New Roman" w:cs="Times New Roman"/>
          <w:kern w:val="0"/>
          <w:sz w:val="20"/>
          <w:szCs w:val="20"/>
          <w:lang w:val="en-GB" w:eastAsia="ja-JP"/>
        </w:rPr>
      </w:pPr>
      <w:r>
        <w:rPr>
          <w:noProof/>
        </w:rPr>
        <mc:AlternateContent>
          <mc:Choice Requires="wps">
            <w:drawing>
              <wp:anchor distT="0" distB="0" distL="114300" distR="114300" simplePos="0" relativeHeight="251660288" behindDoc="0" locked="0" layoutInCell="1" allowOverlap="1">
                <wp:simplePos x="0" y="0"/>
                <wp:positionH relativeFrom="column">
                  <wp:posOffset>-101600</wp:posOffset>
                </wp:positionH>
                <wp:positionV relativeFrom="paragraph">
                  <wp:posOffset>1905</wp:posOffset>
                </wp:positionV>
                <wp:extent cx="6965950" cy="1403350"/>
                <wp:effectExtent l="0" t="0" r="25400" b="25400"/>
                <wp:wrapNone/>
                <wp:docPr id="2" name="矩形 2"/>
                <wp:cNvGraphicFramePr/>
                <a:graphic xmlns:a="http://schemas.openxmlformats.org/drawingml/2006/main">
                  <a:graphicData uri="http://schemas.microsoft.com/office/word/2010/wordprocessingShape">
                    <wps:wsp>
                      <wps:cNvSpPr/>
                      <wps:spPr>
                        <a:xfrm>
                          <a:off x="0" y="0"/>
                          <a:ext cx="6965950" cy="1403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FA0C03" id="矩形 2" o:spid="_x0000_s1026" style="position:absolute;left:0;text-align:left;margin-left:-8pt;margin-top:.15pt;width:548.5pt;height:11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" filled="f" strokecolor="#243f60 [1604]" strokeweight=".25pt"/>
            </w:pict>
          </mc:Fallback>
        </mc:AlternateContent>
      </w:r>
      <w:r w:rsidR="000C3F1F" w:rsidRPr="000A6628">
        <w:rPr>
          <w:rFonts w:ascii="Times New Roman" w:hAnsi="Times New Roman" w:cs="Times New Roman"/>
          <w:kern w:val="0"/>
          <w:sz w:val="20"/>
          <w:szCs w:val="20"/>
          <w:lang w:val="en-GB" w:eastAsia="ja-JP"/>
        </w:rPr>
        <w:t>The OTA total power dynamic range is the difference between the maximum and the minimum transmit power of an OFDM symbol for a specified reference condition.</w:t>
      </w:r>
    </w:p>
    <w:p w:rsidR="000C3F1F" w:rsidRPr="000A6628" w:rsidRDefault="000C3F1F" w:rsidP="000C3F1F">
      <w:pPr>
        <w:rPr>
          <w:rFonts w:ascii="Times New Roman" w:hAnsi="Times New Roman" w:cs="Times New Roman"/>
          <w:kern w:val="0"/>
          <w:sz w:val="20"/>
          <w:szCs w:val="20"/>
          <w:lang w:val="en-GB" w:eastAsia="ja-JP"/>
        </w:rPr>
      </w:pPr>
      <w:r w:rsidRPr="000A6628">
        <w:rPr>
          <w:rFonts w:ascii="Times New Roman" w:hAnsi="Times New Roman" w:cs="Times New Roman"/>
          <w:kern w:val="0"/>
          <w:sz w:val="20"/>
          <w:szCs w:val="20"/>
          <w:lang w:val="en-GB" w:eastAsia="ja-JP"/>
        </w:rPr>
        <w:t xml:space="preserve">This requirement shall apply at each RIB supporting transmission in the </w:t>
      </w:r>
      <w:r w:rsidRPr="000A6628">
        <w:rPr>
          <w:rFonts w:ascii="Times New Roman" w:hAnsi="Times New Roman" w:cs="Times New Roman"/>
          <w:i/>
          <w:kern w:val="0"/>
          <w:sz w:val="20"/>
          <w:szCs w:val="20"/>
          <w:lang w:val="en-GB" w:eastAsia="ja-JP"/>
        </w:rPr>
        <w:t>operating band.</w:t>
      </w:r>
    </w:p>
    <w:p w:rsidR="000C3F1F" w:rsidRPr="00F95B02" w:rsidRDefault="000C3F1F" w:rsidP="000C3F1F">
      <w:pPr>
        <w:pStyle w:val="NO"/>
      </w:pPr>
      <w:r w:rsidRPr="00F95B02">
        <w:t>NOTE 1:</w:t>
      </w:r>
      <w:r w:rsidRPr="00F95B02">
        <w:tab/>
        <w:t xml:space="preserve">The upper limit of the OTA total power dynamic range is the BS maximum carrier </w:t>
      </w:r>
      <w:r w:rsidRPr="000A6628">
        <w:rPr>
          <w:highlight w:val="green"/>
        </w:rPr>
        <w:t>EIRP (P</w:t>
      </w:r>
      <w:r w:rsidRPr="000A6628">
        <w:rPr>
          <w:highlight w:val="green"/>
          <w:vertAlign w:val="subscript"/>
        </w:rPr>
        <w:t>max</w:t>
      </w:r>
      <w:r w:rsidRPr="000A6628">
        <w:rPr>
          <w:highlight w:val="green"/>
          <w:vertAlign w:val="subscript"/>
          <w:lang w:eastAsia="zh-CN"/>
        </w:rPr>
        <w:t>,c,EIRP</w:t>
      </w:r>
      <w:r w:rsidRPr="000A6628">
        <w:rPr>
          <w:highlight w:val="green"/>
        </w:rPr>
        <w:t>)</w:t>
      </w:r>
      <w:r w:rsidRPr="00F95B02">
        <w:t xml:space="preserve"> </w:t>
      </w:r>
      <w:bookmarkStart w:id="0" w:name="_Hlk528437478"/>
      <w:r w:rsidRPr="00F95B02">
        <w:t xml:space="preserve">when </w:t>
      </w:r>
      <w:r w:rsidRPr="000A6628">
        <w:rPr>
          <w:highlight w:val="green"/>
        </w:rPr>
        <w:t>transmitting on all RBs</w:t>
      </w:r>
      <w:bookmarkEnd w:id="0"/>
      <w:r w:rsidRPr="00F95B02">
        <w:t xml:space="preserve">. The lower limit of the OTA total power dynamic range is the average EIRP for single RB transmission </w:t>
      </w:r>
      <w:r w:rsidRPr="004431D0">
        <w:rPr>
          <w:highlight w:val="lightGray"/>
        </w:rPr>
        <w:t>in the same direction using the same beam</w:t>
      </w:r>
      <w:r w:rsidRPr="00F95B02">
        <w:t>. The OFDM symbol carries PDSCH and not contain RS or SSB.</w:t>
      </w:r>
    </w:p>
    <w:p w:rsidR="000C3F1F" w:rsidRPr="000C3F1F" w:rsidRDefault="000325F8" w:rsidP="004C5598">
      <w:pPr>
        <w:rPr>
          <w:lang w:val="en-GB"/>
        </w:rPr>
      </w:pPr>
      <w:r w:rsidRPr="00C75C7E">
        <w:rPr>
          <w:noProof/>
          <w:sz w:val="20"/>
        </w:rPr>
        <mc:AlternateContent>
          <mc:Choice Requires="wps">
            <w:drawing>
              <wp:anchor distT="0" distB="0" distL="114300" distR="114300" simplePos="0" relativeHeight="251662336" behindDoc="0" locked="0" layoutInCell="1" allowOverlap="1" wp14:anchorId="42797014" wp14:editId="47CD7BB1">
                <wp:simplePos x="0" y="0"/>
                <wp:positionH relativeFrom="column">
                  <wp:posOffset>-88900</wp:posOffset>
                </wp:positionH>
                <wp:positionV relativeFrom="paragraph">
                  <wp:posOffset>167005</wp:posOffset>
                </wp:positionV>
                <wp:extent cx="6965950" cy="1003300"/>
                <wp:effectExtent l="0" t="0" r="25400" b="25400"/>
                <wp:wrapNone/>
                <wp:docPr id="3" name="矩形 3"/>
                <wp:cNvGraphicFramePr/>
                <a:graphic xmlns:a="http://schemas.openxmlformats.org/drawingml/2006/main">
                  <a:graphicData uri="http://schemas.microsoft.com/office/word/2010/wordprocessingShape">
                    <wps:wsp>
                      <wps:cNvSpPr/>
                      <wps:spPr>
                        <a:xfrm>
                          <a:off x="0" y="0"/>
                          <a:ext cx="6965950" cy="100330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64E7DB" id="矩形 3" o:spid="_x0000_s1026" style="position:absolute;left:0;text-align:left;margin-left:-7pt;margin-top:13.15pt;width:548.5pt;height:7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" filled="f" strokecolor="#243f60 [1604]" strokeweight=".25pt"/>
            </w:pict>
          </mc:Fallback>
        </mc:AlternateContent>
      </w:r>
      <w:r w:rsidR="00A35219" w:rsidRPr="00C75C7E">
        <w:rPr>
          <w:sz w:val="20"/>
          <w:lang w:val="en-GB"/>
        </w:rPr>
        <w:t xml:space="preserve">The details on </w:t>
      </w:r>
      <w:r w:rsidR="00A35219" w:rsidRPr="00C75C7E">
        <w:rPr>
          <w:sz w:val="20"/>
          <w:lang w:eastAsia="sv-SE"/>
        </w:rPr>
        <w:t>Initial conditions for total power dynamic range is defined in TS38.141-2 as below</w:t>
      </w:r>
      <w:r w:rsidR="00A35219">
        <w:rPr>
          <w:lang w:eastAsia="sv-SE"/>
        </w:rPr>
        <w:t xml:space="preserve">. </w:t>
      </w:r>
    </w:p>
    <w:p w:rsidR="00CD4BC1" w:rsidRPr="00CD4BC1" w:rsidRDefault="00CD4BC1" w:rsidP="00CD4BC1">
      <w:pPr>
        <w:rPr>
          <w:rFonts w:ascii="Times New Roman" w:hAnsi="Times New Roman" w:cs="Times New Roman"/>
          <w:kern w:val="0"/>
          <w:sz w:val="20"/>
          <w:szCs w:val="20"/>
          <w:lang w:val="en-GB" w:eastAsia="ja-JP"/>
        </w:rPr>
      </w:pPr>
      <w:r w:rsidRPr="00CD4BC1">
        <w:rPr>
          <w:rFonts w:ascii="Times New Roman" w:hAnsi="Times New Roman" w:cs="Times New Roman"/>
          <w:kern w:val="0"/>
          <w:sz w:val="20"/>
          <w:szCs w:val="20"/>
          <w:lang w:val="en-GB" w:eastAsia="ja-JP"/>
        </w:rPr>
        <w:t>Test environment:</w:t>
      </w:r>
      <w:r w:rsidRPr="00CD4BC1">
        <w:rPr>
          <w:rFonts w:ascii="Times New Roman" w:hAnsi="Times New Roman" w:cs="Times New Roman"/>
          <w:kern w:val="0"/>
          <w:sz w:val="20"/>
          <w:szCs w:val="20"/>
          <w:lang w:val="en-GB" w:eastAsia="ja-JP"/>
        </w:rPr>
        <w:tab/>
        <w:t>Normal, see annex B.2.</w:t>
      </w:r>
    </w:p>
    <w:p w:rsidR="00CD4BC1" w:rsidRPr="00CD4BC1" w:rsidRDefault="00CD4BC1" w:rsidP="00CD4BC1">
      <w:pPr>
        <w:rPr>
          <w:rFonts w:ascii="Times New Roman" w:hAnsi="Times New Roman" w:cs="Times New Roman"/>
          <w:kern w:val="0"/>
          <w:sz w:val="20"/>
          <w:szCs w:val="20"/>
          <w:lang w:val="en-GB" w:eastAsia="ja-JP"/>
        </w:rPr>
      </w:pPr>
      <w:r w:rsidRPr="00CD4BC1">
        <w:rPr>
          <w:rFonts w:ascii="Times New Roman" w:hAnsi="Times New Roman" w:cs="Times New Roman"/>
          <w:kern w:val="0"/>
          <w:sz w:val="20"/>
          <w:szCs w:val="20"/>
          <w:lang w:val="en-GB" w:eastAsia="ja-JP"/>
        </w:rPr>
        <w:t>RF channels to be tested</w:t>
      </w:r>
      <w:r w:rsidRPr="00CD4BC1">
        <w:rPr>
          <w:rFonts w:ascii="Times New Roman" w:hAnsi="Times New Roman" w:cs="Times New Roman" w:hint="eastAsia"/>
          <w:kern w:val="0"/>
          <w:sz w:val="20"/>
          <w:szCs w:val="20"/>
          <w:lang w:val="en-GB" w:eastAsia="ja-JP"/>
        </w:rPr>
        <w:t xml:space="preserve"> </w:t>
      </w:r>
      <w:r w:rsidRPr="00CD4BC1">
        <w:rPr>
          <w:rFonts w:ascii="Times New Roman" w:hAnsi="Times New Roman" w:cs="Times New Roman"/>
          <w:kern w:val="0"/>
          <w:sz w:val="20"/>
          <w:szCs w:val="20"/>
          <w:lang w:val="en-GB" w:eastAsia="ja-JP"/>
        </w:rPr>
        <w:t>for single carrier:</w:t>
      </w:r>
      <w:r w:rsidRPr="00CD4BC1">
        <w:rPr>
          <w:rFonts w:ascii="Times New Roman" w:hAnsi="Times New Roman" w:cs="Times New Roman"/>
          <w:kern w:val="0"/>
          <w:sz w:val="20"/>
          <w:szCs w:val="20"/>
          <w:lang w:val="en-GB" w:eastAsia="ja-JP"/>
        </w:rPr>
        <w:tab/>
      </w:r>
      <w:r w:rsidRPr="00CD4BC1">
        <w:rPr>
          <w:rFonts w:ascii="Times New Roman" w:hAnsi="Times New Roman" w:cs="Times New Roman" w:hint="eastAsia"/>
          <w:kern w:val="0"/>
          <w:sz w:val="20"/>
          <w:szCs w:val="20"/>
          <w:lang w:val="en-GB" w:eastAsia="ja-JP"/>
        </w:rPr>
        <w:t>M</w:t>
      </w:r>
      <w:r w:rsidRPr="00CD4BC1">
        <w:rPr>
          <w:rFonts w:ascii="Times New Roman" w:hAnsi="Times New Roman" w:cs="Times New Roman"/>
          <w:kern w:val="0"/>
          <w:sz w:val="20"/>
          <w:szCs w:val="20"/>
          <w:lang w:val="en-GB" w:eastAsia="ja-JP"/>
        </w:rPr>
        <w:t>; see subclause 4.9.1.</w:t>
      </w:r>
    </w:p>
    <w:p w:rsidR="00CD4BC1" w:rsidRPr="00CD4BC1" w:rsidRDefault="00CD4BC1" w:rsidP="00CD4BC1">
      <w:pPr>
        <w:rPr>
          <w:rFonts w:ascii="Times New Roman" w:hAnsi="Times New Roman" w:cs="Times New Roman"/>
          <w:kern w:val="0"/>
          <w:sz w:val="20"/>
          <w:szCs w:val="20"/>
          <w:lang w:val="en-GB" w:eastAsia="ja-JP"/>
        </w:rPr>
      </w:pPr>
      <w:r w:rsidRPr="00CD4BC1">
        <w:rPr>
          <w:rFonts w:ascii="Times New Roman" w:hAnsi="Times New Roman" w:cs="Times New Roman"/>
          <w:kern w:val="0"/>
          <w:sz w:val="20"/>
          <w:szCs w:val="20"/>
          <w:lang w:val="en-GB" w:eastAsia="ja-JP"/>
        </w:rPr>
        <w:t xml:space="preserve">Beams to be tested: </w:t>
      </w:r>
      <w:r w:rsidRPr="000325F8">
        <w:rPr>
          <w:rFonts w:ascii="Times New Roman" w:hAnsi="Times New Roman" w:cs="Times New Roman"/>
          <w:kern w:val="0"/>
          <w:sz w:val="20"/>
          <w:szCs w:val="20"/>
          <w:highlight w:val="green"/>
          <w:lang w:val="en-GB" w:eastAsia="ja-JP"/>
        </w:rPr>
        <w:t>Declared beam with the highest intended EIRP for the narrowest intended BeWθ or for the narrowest intended BeWϕ (D.3, D.11)</w:t>
      </w:r>
      <w:r w:rsidRPr="00CD4BC1">
        <w:rPr>
          <w:rFonts w:ascii="Times New Roman" w:hAnsi="Times New Roman" w:cs="Times New Roman"/>
          <w:kern w:val="0"/>
          <w:sz w:val="20"/>
          <w:szCs w:val="20"/>
          <w:lang w:val="en-GB" w:eastAsia="ja-JP"/>
        </w:rPr>
        <w:t>.</w:t>
      </w:r>
    </w:p>
    <w:p w:rsidR="00CD4BC1" w:rsidRPr="00CD4BC1" w:rsidRDefault="00CD4BC1" w:rsidP="00CD4BC1">
      <w:pPr>
        <w:rPr>
          <w:rFonts w:ascii="Times New Roman" w:hAnsi="Times New Roman" w:cs="Times New Roman"/>
          <w:kern w:val="0"/>
          <w:sz w:val="20"/>
          <w:szCs w:val="20"/>
          <w:lang w:val="en-GB" w:eastAsia="ja-JP"/>
        </w:rPr>
      </w:pPr>
      <w:r w:rsidRPr="00CD4BC1">
        <w:rPr>
          <w:rFonts w:ascii="Times New Roman" w:hAnsi="Times New Roman" w:cs="Times New Roman"/>
          <w:kern w:val="0"/>
          <w:sz w:val="20"/>
          <w:szCs w:val="20"/>
          <w:lang w:val="en-GB" w:eastAsia="ja-JP"/>
        </w:rPr>
        <w:t xml:space="preserve">Directions to be tested: The </w:t>
      </w:r>
      <w:r w:rsidRPr="004431D0">
        <w:rPr>
          <w:rFonts w:ascii="Times New Roman" w:hAnsi="Times New Roman" w:cs="Times New Roman"/>
          <w:i/>
          <w:kern w:val="0"/>
          <w:sz w:val="20"/>
          <w:szCs w:val="20"/>
          <w:highlight w:val="lightGray"/>
          <w:lang w:val="en-GB" w:eastAsia="ja-JP"/>
        </w:rPr>
        <w:t>OTA peak directions set reference beam direction pair</w:t>
      </w:r>
      <w:r w:rsidRPr="004431D0">
        <w:rPr>
          <w:rFonts w:ascii="Times New Roman" w:hAnsi="Times New Roman" w:cs="Times New Roman"/>
          <w:kern w:val="0"/>
          <w:sz w:val="20"/>
          <w:szCs w:val="20"/>
          <w:highlight w:val="lightGray"/>
          <w:lang w:val="en-GB" w:eastAsia="ja-JP"/>
        </w:rPr>
        <w:t xml:space="preserve"> (D.8).</w:t>
      </w:r>
    </w:p>
    <w:p w:rsidR="00A37C31" w:rsidRPr="00C75C7E" w:rsidRDefault="004A46A8" w:rsidP="004C5598">
      <w:pPr>
        <w:rPr>
          <w:sz w:val="20"/>
          <w:szCs w:val="20"/>
        </w:rPr>
      </w:pPr>
      <w:r w:rsidRPr="00C75C7E">
        <w:rPr>
          <w:sz w:val="20"/>
          <w:szCs w:val="20"/>
          <w:lang w:eastAsia="sv-SE"/>
        </w:rPr>
        <w:t>In addition, in OTA conformance testing spec the u</w:t>
      </w:r>
      <w:r w:rsidRPr="00C75C7E">
        <w:rPr>
          <w:rFonts w:cs="v5.0.0"/>
          <w:sz w:val="20"/>
          <w:szCs w:val="20"/>
        </w:rPr>
        <w:t xml:space="preserve">pper OFDM symbol power limit at </w:t>
      </w:r>
      <w:r w:rsidRPr="00C75C7E">
        <w:rPr>
          <w:sz w:val="20"/>
          <w:szCs w:val="20"/>
        </w:rPr>
        <w:t xml:space="preserve">max power with full PB allocation is tested with the highest modulation order without power backoff. And the lower OFDM symbol power limit at min power is tested with the highest </w:t>
      </w:r>
      <w:r w:rsidR="00A37C31" w:rsidRPr="00C75C7E">
        <w:rPr>
          <w:sz w:val="20"/>
          <w:szCs w:val="20"/>
        </w:rPr>
        <w:t>modulation order supported.</w:t>
      </w:r>
    </w:p>
    <w:p w:rsidR="00A37C31" w:rsidRPr="00C75C7E" w:rsidRDefault="00A37C31" w:rsidP="004C5598">
      <w:pPr>
        <w:rPr>
          <w:sz w:val="20"/>
          <w:szCs w:val="20"/>
        </w:rPr>
      </w:pPr>
    </w:p>
    <w:p w:rsidR="00E93CF4" w:rsidRPr="00C75C7E" w:rsidRDefault="00A37C31" w:rsidP="004C5598">
      <w:pPr>
        <w:rPr>
          <w:sz w:val="20"/>
          <w:szCs w:val="20"/>
        </w:rPr>
      </w:pPr>
      <w:r w:rsidRPr="00C75C7E">
        <w:rPr>
          <w:sz w:val="20"/>
          <w:szCs w:val="20"/>
        </w:rPr>
        <w:t xml:space="preserve">Considering dynamic range of dynamic PSD and constant PSD are agreed to be defined as separate requirements for IAB-MT, </w:t>
      </w:r>
      <w:r w:rsidR="00A35219" w:rsidRPr="00C75C7E">
        <w:rPr>
          <w:sz w:val="20"/>
          <w:szCs w:val="20"/>
        </w:rPr>
        <w:t xml:space="preserve">it is suggested </w:t>
      </w:r>
      <w:r w:rsidRPr="00C75C7E">
        <w:rPr>
          <w:sz w:val="20"/>
          <w:szCs w:val="20"/>
        </w:rPr>
        <w:t>to refer to gNB total power dynamic range for IAB-MT constant PSD dynamic range and refer to UE MOP&amp;min power test for IAB-MT dynamic PSD verification with detail as below</w:t>
      </w:r>
      <w:r w:rsidR="001202FD" w:rsidRPr="00C75C7E">
        <w:rPr>
          <w:sz w:val="20"/>
          <w:szCs w:val="20"/>
        </w:rPr>
        <w:t xml:space="preserve"> for FR2 as </w:t>
      </w:r>
      <w:r w:rsidR="006743CD" w:rsidRPr="00C75C7E">
        <w:rPr>
          <w:sz w:val="20"/>
          <w:szCs w:val="20"/>
        </w:rPr>
        <w:t>example</w:t>
      </w:r>
      <w:r w:rsidRPr="00C75C7E">
        <w:rPr>
          <w:sz w:val="20"/>
          <w:szCs w:val="20"/>
        </w:rPr>
        <w:t xml:space="preserve">: </w:t>
      </w:r>
    </w:p>
    <w:p w:rsidR="00A37C31" w:rsidRPr="00C75C7E" w:rsidRDefault="00A37C31" w:rsidP="004C5598">
      <w:pPr>
        <w:rPr>
          <w:sz w:val="20"/>
          <w:szCs w:val="20"/>
        </w:rPr>
      </w:pPr>
    </w:p>
    <w:p w:rsidR="009D2301" w:rsidRPr="00C75C7E" w:rsidRDefault="00E93CF4" w:rsidP="004C5598">
      <w:pPr>
        <w:rPr>
          <w:sz w:val="20"/>
          <w:szCs w:val="20"/>
          <w:lang w:eastAsia="ja-JP"/>
        </w:rPr>
      </w:pPr>
      <w:r w:rsidRPr="00C75C7E">
        <w:rPr>
          <w:b/>
          <w:sz w:val="20"/>
          <w:szCs w:val="20"/>
          <w:lang w:eastAsia="ja-JP"/>
        </w:rPr>
        <w:t>Dynamic range(X)-dynamic PSD</w:t>
      </w:r>
      <w:r w:rsidRPr="00C75C7E">
        <w:rPr>
          <w:sz w:val="20"/>
          <w:szCs w:val="20"/>
          <w:lang w:eastAsia="ja-JP"/>
        </w:rPr>
        <w:t>:</w:t>
      </w:r>
      <w:r w:rsidR="008F57AD" w:rsidRPr="00C75C7E">
        <w:rPr>
          <w:sz w:val="20"/>
          <w:szCs w:val="20"/>
          <w:lang w:eastAsia="ja-JP"/>
        </w:rPr>
        <w:t xml:space="preserve"> power difference between min TX and max Tx power under the same side condition with full RB transmission.</w:t>
      </w:r>
    </w:p>
    <w:p w:rsidR="00E93CF4" w:rsidRPr="00C75C7E" w:rsidRDefault="00417A6F" w:rsidP="00417A6F">
      <w:pPr>
        <w:pStyle w:val="a5"/>
        <w:numPr>
          <w:ilvl w:val="0"/>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Reference condition:</w:t>
      </w:r>
    </w:p>
    <w:p w:rsidR="008F57AD" w:rsidRPr="00C75C7E" w:rsidRDefault="008F57AD" w:rsidP="00417A6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hint="eastAsia"/>
          <w:kern w:val="2"/>
          <w:sz w:val="20"/>
          <w:szCs w:val="20"/>
          <w:lang w:eastAsia="ja-JP"/>
        </w:rPr>
        <w:t>D</w:t>
      </w:r>
      <w:r w:rsidRPr="00C75C7E">
        <w:rPr>
          <w:rFonts w:asciiTheme="minorHAnsi" w:eastAsiaTheme="minorEastAsia" w:hAnsiTheme="minorHAnsi" w:cstheme="minorBidi"/>
          <w:kern w:val="2"/>
          <w:sz w:val="20"/>
          <w:szCs w:val="20"/>
          <w:lang w:eastAsia="ja-JP"/>
        </w:rPr>
        <w:t>irectional requirement</w:t>
      </w:r>
      <w:r w:rsidR="00A37C31" w:rsidRPr="00C75C7E">
        <w:rPr>
          <w:rFonts w:asciiTheme="minorHAnsi" w:eastAsiaTheme="minorEastAsia" w:hAnsiTheme="minorHAnsi" w:cstheme="minorBidi"/>
          <w:kern w:val="2"/>
          <w:sz w:val="20"/>
          <w:szCs w:val="20"/>
          <w:lang w:eastAsia="ja-JP"/>
        </w:rPr>
        <w:t>:</w:t>
      </w:r>
      <w:r w:rsidRPr="00C75C7E">
        <w:rPr>
          <w:rFonts w:asciiTheme="minorHAnsi" w:eastAsiaTheme="minorEastAsia" w:hAnsiTheme="minorHAnsi" w:cstheme="minorBidi"/>
          <w:kern w:val="2"/>
          <w:sz w:val="20"/>
          <w:szCs w:val="20"/>
          <w:lang w:eastAsia="ja-JP"/>
        </w:rPr>
        <w:t xml:space="preserve"> declared beam peak direction with the same directions as radiated transmitted power </w:t>
      </w:r>
    </w:p>
    <w:p w:rsidR="008F57AD" w:rsidRPr="00C75C7E" w:rsidRDefault="008F57AD" w:rsidP="00417A6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 xml:space="preserve">Modulation: </w:t>
      </w:r>
      <w:r w:rsidR="003217EF" w:rsidRPr="00C75C7E">
        <w:rPr>
          <w:rFonts w:asciiTheme="minorHAnsi" w:eastAsiaTheme="minorEastAsia" w:hAnsiTheme="minorHAnsi" w:cstheme="minorBidi"/>
          <w:kern w:val="2"/>
          <w:sz w:val="20"/>
          <w:szCs w:val="20"/>
          <w:lang w:eastAsia="ja-JP"/>
        </w:rPr>
        <w:t xml:space="preserve">DFT-s-OFDM </w:t>
      </w:r>
      <w:r w:rsidRPr="00C75C7E">
        <w:rPr>
          <w:rFonts w:asciiTheme="minorHAnsi" w:eastAsiaTheme="minorEastAsia" w:hAnsiTheme="minorHAnsi" w:cstheme="minorBidi"/>
          <w:kern w:val="2"/>
          <w:sz w:val="20"/>
          <w:szCs w:val="20"/>
          <w:lang w:eastAsia="ja-JP"/>
        </w:rPr>
        <w:t>QPSK</w:t>
      </w:r>
    </w:p>
    <w:p w:rsidR="008F57AD" w:rsidRPr="00C75C7E" w:rsidRDefault="008F57AD" w:rsidP="00417A6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PRB allocation: Full UL RB transmission</w:t>
      </w:r>
    </w:p>
    <w:p w:rsidR="008F57AD" w:rsidRPr="00C75C7E" w:rsidRDefault="008F57AD" w:rsidP="00417A6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Channel bandwidth: declared supported channel band</w:t>
      </w:r>
      <w:r w:rsidR="007218D4" w:rsidRPr="00C75C7E">
        <w:rPr>
          <w:rFonts w:asciiTheme="minorHAnsi" w:eastAsiaTheme="minorEastAsia" w:hAnsiTheme="minorHAnsi" w:cstheme="minorBidi"/>
          <w:kern w:val="2"/>
          <w:sz w:val="20"/>
          <w:szCs w:val="20"/>
          <w:lang w:eastAsia="ja-JP"/>
        </w:rPr>
        <w:t>width with highest</w:t>
      </w:r>
      <w:r w:rsidRPr="00C75C7E">
        <w:rPr>
          <w:rFonts w:asciiTheme="minorHAnsi" w:eastAsiaTheme="minorEastAsia" w:hAnsiTheme="minorHAnsi" w:cstheme="minorBidi"/>
          <w:kern w:val="2"/>
          <w:sz w:val="20"/>
          <w:szCs w:val="20"/>
          <w:lang w:eastAsia="ja-JP"/>
        </w:rPr>
        <w:t xml:space="preserve"> supported SCS</w:t>
      </w:r>
    </w:p>
    <w:p w:rsidR="001202FD" w:rsidRPr="00C75C7E" w:rsidRDefault="001202FD" w:rsidP="00417A6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UL RMC: A.2.1, A.2.3.2, A.2.3.3, A.2.3.4 of TS38.101-2 for Type 2-O</w:t>
      </w:r>
    </w:p>
    <w:p w:rsidR="00417A6F" w:rsidRPr="00C75C7E" w:rsidRDefault="00417A6F" w:rsidP="00417A6F">
      <w:pPr>
        <w:pStyle w:val="a5"/>
        <w:numPr>
          <w:ilvl w:val="0"/>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 xml:space="preserve">“X” is derived with the delta value of test result on maximum output level and test result on min Tx power based on above reference condition. </w:t>
      </w:r>
    </w:p>
    <w:p w:rsidR="007D7E26" w:rsidRPr="00C75C7E" w:rsidRDefault="007D7E26" w:rsidP="00417A6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lastRenderedPageBreak/>
        <w:t>And below</w:t>
      </w:r>
      <w:r w:rsidR="00417A6F" w:rsidRPr="00C75C7E">
        <w:rPr>
          <w:rFonts w:asciiTheme="minorHAnsi" w:eastAsiaTheme="minorEastAsia" w:hAnsiTheme="minorHAnsi" w:cstheme="minorBidi"/>
          <w:kern w:val="2"/>
          <w:sz w:val="20"/>
          <w:szCs w:val="20"/>
          <w:lang w:eastAsia="ja-JP"/>
        </w:rPr>
        <w:t xml:space="preserve"> </w:t>
      </w:r>
      <w:r w:rsidRPr="00C75C7E">
        <w:rPr>
          <w:rFonts w:asciiTheme="minorHAnsi" w:eastAsiaTheme="minorEastAsia" w:hAnsiTheme="minorHAnsi" w:cstheme="minorBidi"/>
          <w:kern w:val="2"/>
          <w:sz w:val="20"/>
          <w:szCs w:val="20"/>
          <w:lang w:eastAsia="ja-JP"/>
        </w:rPr>
        <w:t xml:space="preserve">procedure is suggested to be applied for IAB-MT for configure the IAB-MT from max output power down to minimum output power condition. </w:t>
      </w:r>
    </w:p>
    <w:p w:rsidR="003217EF" w:rsidRPr="00C75C7E" w:rsidRDefault="007D7E26" w:rsidP="007D7E26">
      <w:pPr>
        <w:pStyle w:val="a5"/>
        <w:ind w:left="840" w:firstLineChars="0" w:firstLine="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 xml:space="preserve">“Send continuously uplink power control "down" commands in every uplink scheduling information to the IAB-MT; allow at least </w:t>
      </w:r>
      <w:r w:rsidR="00231DD6" w:rsidRPr="00C75C7E">
        <w:rPr>
          <w:rFonts w:asciiTheme="minorHAnsi" w:eastAsiaTheme="minorEastAsia" w:hAnsiTheme="minorHAnsi" w:cstheme="minorBidi"/>
          <w:kern w:val="2"/>
          <w:sz w:val="20"/>
          <w:szCs w:val="20"/>
          <w:lang w:eastAsia="ja-JP"/>
        </w:rPr>
        <w:t>[</w:t>
      </w:r>
      <w:r w:rsidRPr="00C75C7E">
        <w:rPr>
          <w:rFonts w:asciiTheme="minorHAnsi" w:eastAsiaTheme="minorEastAsia" w:hAnsiTheme="minorHAnsi" w:cstheme="minorBidi"/>
          <w:kern w:val="2"/>
          <w:sz w:val="20"/>
          <w:szCs w:val="20"/>
          <w:lang w:eastAsia="ja-JP"/>
        </w:rPr>
        <w:t>200m</w:t>
      </w:r>
      <w:r w:rsidR="00231DD6" w:rsidRPr="00C75C7E">
        <w:rPr>
          <w:rFonts w:asciiTheme="minorHAnsi" w:eastAsiaTheme="minorEastAsia" w:hAnsiTheme="minorHAnsi" w:cstheme="minorBidi"/>
          <w:kern w:val="2"/>
          <w:sz w:val="20"/>
          <w:szCs w:val="20"/>
          <w:lang w:eastAsia="ja-JP"/>
        </w:rPr>
        <w:t xml:space="preserve">s] </w:t>
      </w:r>
      <w:r w:rsidRPr="00C75C7E">
        <w:rPr>
          <w:rFonts w:asciiTheme="minorHAnsi" w:eastAsiaTheme="minorEastAsia" w:hAnsiTheme="minorHAnsi" w:cstheme="minorBidi"/>
          <w:kern w:val="2"/>
          <w:sz w:val="20"/>
          <w:szCs w:val="20"/>
          <w:lang w:eastAsia="ja-JP"/>
        </w:rPr>
        <w:t>starting from the first TPC command in this step to ensure that the IAB-MT transmits at its minimum output power.”</w:t>
      </w:r>
    </w:p>
    <w:p w:rsidR="005A465F" w:rsidRPr="00C75C7E" w:rsidRDefault="005A465F" w:rsidP="007D7E26">
      <w:pPr>
        <w:pStyle w:val="a5"/>
        <w:ind w:left="840" w:firstLineChars="0" w:firstLine="0"/>
        <w:rPr>
          <w:rFonts w:asciiTheme="minorHAnsi" w:eastAsiaTheme="minorEastAsia" w:hAnsiTheme="minorHAnsi" w:cstheme="minorBidi"/>
          <w:kern w:val="2"/>
          <w:sz w:val="20"/>
          <w:szCs w:val="20"/>
          <w:lang w:eastAsia="ja-JP"/>
        </w:rPr>
      </w:pPr>
    </w:p>
    <w:p w:rsidR="00417A6F" w:rsidRPr="00C75C7E" w:rsidRDefault="00417A6F" w:rsidP="00417A6F">
      <w:pPr>
        <w:rPr>
          <w:sz w:val="20"/>
          <w:szCs w:val="20"/>
          <w:lang w:val="en-GB" w:eastAsia="ja-JP"/>
        </w:rPr>
      </w:pPr>
      <w:r w:rsidRPr="00C75C7E">
        <w:rPr>
          <w:b/>
          <w:sz w:val="20"/>
          <w:szCs w:val="20"/>
          <w:lang w:eastAsia="ja-JP"/>
        </w:rPr>
        <w:t>Dynamic range (Y)-constant PSD</w:t>
      </w:r>
      <w:r w:rsidRPr="00C75C7E">
        <w:rPr>
          <w:sz w:val="20"/>
          <w:szCs w:val="20"/>
          <w:lang w:eastAsia="ja-JP"/>
        </w:rPr>
        <w:t>: 10*log</w:t>
      </w:r>
      <w:r w:rsidRPr="00C75C7E">
        <w:rPr>
          <w:sz w:val="20"/>
          <w:szCs w:val="20"/>
          <w:lang w:val="en-GB" w:eastAsia="ja-JP"/>
        </w:rPr>
        <w:t>N</w:t>
      </w:r>
      <w:r w:rsidR="007D7E26" w:rsidRPr="00C75C7E">
        <w:rPr>
          <w:sz w:val="20"/>
          <w:szCs w:val="20"/>
          <w:vertAlign w:val="subscript"/>
          <w:lang w:val="en-GB" w:eastAsia="ja-JP"/>
        </w:rPr>
        <w:t xml:space="preserve">RB </w:t>
      </w:r>
      <w:r w:rsidR="005A465F" w:rsidRPr="00C75C7E">
        <w:rPr>
          <w:sz w:val="20"/>
          <w:szCs w:val="20"/>
          <w:vertAlign w:val="subscript"/>
          <w:lang w:val="en-GB" w:eastAsia="ja-JP"/>
        </w:rPr>
        <w:t xml:space="preserve">. </w:t>
      </w:r>
      <w:r w:rsidR="007D7E26" w:rsidRPr="00C75C7E">
        <w:rPr>
          <w:sz w:val="20"/>
          <w:szCs w:val="20"/>
          <w:vertAlign w:val="subscript"/>
          <w:lang w:val="en-GB" w:eastAsia="ja-JP"/>
        </w:rPr>
        <w:t xml:space="preserve"> </w:t>
      </w:r>
      <w:r w:rsidR="005A465F" w:rsidRPr="00C75C7E">
        <w:rPr>
          <w:sz w:val="20"/>
          <w:szCs w:val="20"/>
          <w:lang w:val="en-GB" w:eastAsia="ja-JP"/>
        </w:rPr>
        <w:t xml:space="preserve">And it </w:t>
      </w:r>
      <w:r w:rsidRPr="00C75C7E">
        <w:rPr>
          <w:sz w:val="20"/>
          <w:szCs w:val="20"/>
          <w:lang w:val="en-GB" w:eastAsia="ja-JP"/>
        </w:rPr>
        <w:t>applied for power ration among single RB and full RB in the same channel</w:t>
      </w:r>
      <w:r w:rsidR="007D7E26" w:rsidRPr="00C75C7E">
        <w:rPr>
          <w:sz w:val="20"/>
          <w:szCs w:val="20"/>
          <w:lang w:val="en-GB" w:eastAsia="ja-JP"/>
        </w:rPr>
        <w:t>.</w:t>
      </w:r>
    </w:p>
    <w:p w:rsidR="005A465F" w:rsidRPr="00C75C7E" w:rsidRDefault="005A465F" w:rsidP="005A465F">
      <w:pPr>
        <w:pStyle w:val="a5"/>
        <w:numPr>
          <w:ilvl w:val="0"/>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Reference condition:</w:t>
      </w:r>
    </w:p>
    <w:p w:rsidR="005A465F" w:rsidRPr="00C75C7E" w:rsidRDefault="005A465F" w:rsidP="005A465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hint="eastAsia"/>
          <w:kern w:val="2"/>
          <w:sz w:val="20"/>
          <w:szCs w:val="20"/>
          <w:lang w:eastAsia="ja-JP"/>
        </w:rPr>
        <w:t>D</w:t>
      </w:r>
      <w:r w:rsidRPr="00C75C7E">
        <w:rPr>
          <w:rFonts w:asciiTheme="minorHAnsi" w:eastAsiaTheme="minorEastAsia" w:hAnsiTheme="minorHAnsi" w:cstheme="minorBidi"/>
          <w:kern w:val="2"/>
          <w:sz w:val="20"/>
          <w:szCs w:val="20"/>
          <w:lang w:eastAsia="ja-JP"/>
        </w:rPr>
        <w:t>irectional requirement</w:t>
      </w:r>
    </w:p>
    <w:p w:rsidR="005A465F" w:rsidRPr="00C75C7E" w:rsidRDefault="005A465F" w:rsidP="005A465F">
      <w:pPr>
        <w:pStyle w:val="a5"/>
        <w:numPr>
          <w:ilvl w:val="2"/>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 xml:space="preserve">Beams to be tested: Declared beam with the highest intended EIRP for the narrowest intended BeWθ or for the narrowest intended BeWϕ </w:t>
      </w:r>
    </w:p>
    <w:p w:rsidR="005A465F" w:rsidRPr="00C75C7E" w:rsidRDefault="005A465F" w:rsidP="006A47F4">
      <w:pPr>
        <w:pStyle w:val="a5"/>
        <w:numPr>
          <w:ilvl w:val="2"/>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 xml:space="preserve">Directions to be tested: The OTA peak directions </w:t>
      </w:r>
      <w:r w:rsidR="006A47F4" w:rsidRPr="00C75C7E">
        <w:rPr>
          <w:rFonts w:asciiTheme="minorHAnsi" w:eastAsiaTheme="minorEastAsia" w:hAnsiTheme="minorHAnsi" w:cstheme="minorBidi"/>
          <w:kern w:val="2"/>
          <w:sz w:val="20"/>
          <w:szCs w:val="20"/>
          <w:lang w:eastAsia="ja-JP"/>
        </w:rPr>
        <w:t>according to declaration</w:t>
      </w:r>
      <w:r w:rsidRPr="00C75C7E">
        <w:rPr>
          <w:rFonts w:asciiTheme="minorHAnsi" w:eastAsiaTheme="minorEastAsia" w:hAnsiTheme="minorHAnsi" w:cstheme="minorBidi"/>
          <w:kern w:val="2"/>
          <w:sz w:val="20"/>
          <w:szCs w:val="20"/>
          <w:lang w:eastAsia="ja-JP"/>
        </w:rPr>
        <w:t>.</w:t>
      </w:r>
    </w:p>
    <w:p w:rsidR="005A465F" w:rsidRPr="00C75C7E" w:rsidRDefault="005A465F" w:rsidP="005A465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Modulation: DFT-s-OFDM</w:t>
      </w:r>
      <w:r w:rsidR="006A47F4" w:rsidRPr="00C75C7E">
        <w:rPr>
          <w:rFonts w:asciiTheme="minorHAnsi" w:eastAsiaTheme="minorEastAsia" w:hAnsiTheme="minorHAnsi" w:cstheme="minorBidi"/>
          <w:kern w:val="2"/>
          <w:sz w:val="20"/>
          <w:szCs w:val="20"/>
          <w:lang w:eastAsia="ja-JP"/>
        </w:rPr>
        <w:t xml:space="preserve"> with</w:t>
      </w:r>
      <w:r w:rsidRPr="00C75C7E">
        <w:rPr>
          <w:rFonts w:asciiTheme="minorHAnsi" w:eastAsiaTheme="minorEastAsia" w:hAnsiTheme="minorHAnsi" w:cstheme="minorBidi"/>
          <w:kern w:val="2"/>
          <w:sz w:val="20"/>
          <w:szCs w:val="20"/>
          <w:lang w:eastAsia="ja-JP"/>
        </w:rPr>
        <w:t xml:space="preserve"> </w:t>
      </w:r>
      <w:r w:rsidR="006A47F4" w:rsidRPr="00C75C7E">
        <w:rPr>
          <w:rFonts w:asciiTheme="minorHAnsi" w:eastAsiaTheme="minorEastAsia" w:hAnsiTheme="minorHAnsi" w:cstheme="minorBidi"/>
          <w:kern w:val="2"/>
          <w:sz w:val="20"/>
          <w:szCs w:val="20"/>
          <w:lang w:eastAsia="ja-JP"/>
        </w:rPr>
        <w:t>highest modulation order without power backoff for peak EIRP and supported highest modulation order for min EIRP</w:t>
      </w:r>
    </w:p>
    <w:p w:rsidR="005A465F" w:rsidRPr="00C75C7E" w:rsidRDefault="005A465F" w:rsidP="005A465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PRB allocation: Full UL RB transmission</w:t>
      </w:r>
      <w:r w:rsidR="006A47F4" w:rsidRPr="00C75C7E">
        <w:rPr>
          <w:rFonts w:asciiTheme="minorHAnsi" w:eastAsiaTheme="minorEastAsia" w:hAnsiTheme="minorHAnsi" w:cstheme="minorBidi"/>
          <w:kern w:val="2"/>
          <w:sz w:val="20"/>
          <w:szCs w:val="20"/>
          <w:lang w:eastAsia="ja-JP"/>
        </w:rPr>
        <w:t xml:space="preserve"> for peak EIRP and 1PB allocation for min EIRP</w:t>
      </w:r>
    </w:p>
    <w:p w:rsidR="005A465F" w:rsidRPr="00C75C7E" w:rsidRDefault="005A465F" w:rsidP="005A465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Channel bandwidth: declared supported channel band</w:t>
      </w:r>
      <w:r w:rsidR="006A47F4" w:rsidRPr="00C75C7E">
        <w:rPr>
          <w:rFonts w:asciiTheme="minorHAnsi" w:eastAsiaTheme="minorEastAsia" w:hAnsiTheme="minorHAnsi" w:cstheme="minorBidi"/>
          <w:kern w:val="2"/>
          <w:sz w:val="20"/>
          <w:szCs w:val="20"/>
          <w:lang w:eastAsia="ja-JP"/>
        </w:rPr>
        <w:t>width with all</w:t>
      </w:r>
      <w:r w:rsidRPr="00C75C7E">
        <w:rPr>
          <w:rFonts w:asciiTheme="minorHAnsi" w:eastAsiaTheme="minorEastAsia" w:hAnsiTheme="minorHAnsi" w:cstheme="minorBidi"/>
          <w:kern w:val="2"/>
          <w:sz w:val="20"/>
          <w:szCs w:val="20"/>
          <w:lang w:eastAsia="ja-JP"/>
        </w:rPr>
        <w:t xml:space="preserve"> supported SCS</w:t>
      </w:r>
    </w:p>
    <w:p w:rsidR="005A465F" w:rsidRPr="00C75C7E" w:rsidRDefault="005A465F" w:rsidP="005A465F">
      <w:pPr>
        <w:pStyle w:val="a5"/>
        <w:numPr>
          <w:ilvl w:val="1"/>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UL RMC: A.2.1, A.2.3.2, A.2.3.3, A.2.3.4 of TS38.101-2 for Type 2-O</w:t>
      </w:r>
    </w:p>
    <w:p w:rsidR="004D468D" w:rsidRPr="00C75C7E" w:rsidRDefault="004D468D" w:rsidP="004D468D">
      <w:pPr>
        <w:pStyle w:val="a5"/>
        <w:numPr>
          <w:ilvl w:val="0"/>
          <w:numId w:val="18"/>
        </w:numPr>
        <w:ind w:firstLineChars="0"/>
        <w:rPr>
          <w:rFonts w:asciiTheme="minorHAnsi" w:eastAsiaTheme="minorEastAsia" w:hAnsiTheme="minorHAnsi" w:cstheme="minorBidi"/>
          <w:kern w:val="2"/>
          <w:sz w:val="20"/>
          <w:szCs w:val="20"/>
          <w:lang w:eastAsia="ja-JP"/>
        </w:rPr>
      </w:pPr>
      <w:r w:rsidRPr="00C75C7E">
        <w:rPr>
          <w:rFonts w:asciiTheme="minorHAnsi" w:eastAsiaTheme="minorEastAsia" w:hAnsiTheme="minorHAnsi" w:cstheme="minorBidi"/>
          <w:kern w:val="2"/>
          <w:sz w:val="20"/>
          <w:szCs w:val="20"/>
          <w:lang w:eastAsia="ja-JP"/>
        </w:rPr>
        <w:t xml:space="preserve">“Y” is derived with the delta value of test result on maximum output level and test result on min Tx power based on above reference condition. </w:t>
      </w:r>
    </w:p>
    <w:p w:rsidR="007A0DA3" w:rsidRPr="007A0DA3" w:rsidRDefault="007A0DA3" w:rsidP="00B716C7">
      <w:pPr>
        <w:rPr>
          <w:rFonts w:hint="eastAsia"/>
        </w:rPr>
      </w:pPr>
      <w:r w:rsidRPr="00B716C7">
        <w:rPr>
          <w:rFonts w:hint="eastAsia"/>
          <w:b/>
        </w:rPr>
        <w:t>P</w:t>
      </w:r>
      <w:r w:rsidRPr="00B716C7">
        <w:rPr>
          <w:b/>
        </w:rPr>
        <w:t xml:space="preserve">roposal 5: </w:t>
      </w:r>
      <w:r>
        <w:t>it is suggested to refer to gNB total power dynamic range for IAB-MT constant PSD dynamic range and refer to UE MOP&amp;min Tx power test for IAB-MT dynamic PSD dynamic range verification</w:t>
      </w:r>
      <w:r w:rsidRPr="00EB56E5">
        <w:t xml:space="preserve"> </w:t>
      </w:r>
    </w:p>
    <w:p w:rsidR="008D5F2B" w:rsidRPr="00C75C7E" w:rsidRDefault="00EB56E5" w:rsidP="00B716C7">
      <w:pPr>
        <w:rPr>
          <w:sz w:val="20"/>
          <w:szCs w:val="20"/>
        </w:rPr>
      </w:pPr>
      <w:r w:rsidRPr="00C75C7E">
        <w:rPr>
          <w:b/>
          <w:sz w:val="20"/>
          <w:szCs w:val="20"/>
        </w:rPr>
        <w:t>Proposal 6</w:t>
      </w:r>
      <w:r w:rsidRPr="00C75C7E">
        <w:rPr>
          <w:sz w:val="20"/>
          <w:szCs w:val="20"/>
        </w:rPr>
        <w:t xml:space="preserve">: It’s suggested to consider above reference condition for IAB-MT dynamic range FR2. </w:t>
      </w:r>
    </w:p>
    <w:p w:rsidR="00B716C7" w:rsidRPr="00C75C7E" w:rsidRDefault="00B716C7" w:rsidP="00B716C7">
      <w:pPr>
        <w:rPr>
          <w:b/>
          <w:sz w:val="20"/>
          <w:szCs w:val="20"/>
        </w:rPr>
      </w:pPr>
    </w:p>
    <w:p w:rsidR="004D468D" w:rsidRPr="00C75C7E" w:rsidRDefault="004D468D" w:rsidP="004D468D">
      <w:pPr>
        <w:rPr>
          <w:b/>
          <w:sz w:val="20"/>
          <w:szCs w:val="20"/>
        </w:rPr>
      </w:pPr>
      <w:r w:rsidRPr="00C75C7E">
        <w:rPr>
          <w:rFonts w:hint="eastAsia"/>
          <w:b/>
          <w:sz w:val="20"/>
          <w:szCs w:val="20"/>
        </w:rPr>
        <w:t>P</w:t>
      </w:r>
      <w:r w:rsidRPr="00C75C7E">
        <w:rPr>
          <w:b/>
          <w:sz w:val="20"/>
          <w:szCs w:val="20"/>
        </w:rPr>
        <w:t xml:space="preserve">ower control </w:t>
      </w:r>
      <w:r w:rsidR="005E2E31">
        <w:rPr>
          <w:b/>
          <w:sz w:val="20"/>
          <w:szCs w:val="20"/>
        </w:rPr>
        <w:t>for LA IAB-MT</w:t>
      </w:r>
    </w:p>
    <w:p w:rsidR="00B009A6" w:rsidRPr="00C75C7E" w:rsidRDefault="007713A1" w:rsidP="00231DD6">
      <w:pPr>
        <w:rPr>
          <w:sz w:val="20"/>
          <w:szCs w:val="20"/>
          <w:lang w:eastAsia="ja-JP"/>
        </w:rPr>
      </w:pPr>
      <w:r w:rsidRPr="00C75C7E">
        <w:rPr>
          <w:sz w:val="20"/>
          <w:szCs w:val="20"/>
          <w:lang w:eastAsia="ja-JP"/>
        </w:rPr>
        <w:t>For WA IAB-MT</w:t>
      </w:r>
      <w:r w:rsidR="004D468D" w:rsidRPr="00C75C7E">
        <w:rPr>
          <w:rFonts w:eastAsia="MS Mincho"/>
          <w:sz w:val="20"/>
          <w:szCs w:val="20"/>
          <w:lang w:eastAsia="ja-JP"/>
        </w:rPr>
        <w:t xml:space="preserve">, it is agreed that </w:t>
      </w:r>
      <w:r w:rsidRPr="00C75C7E">
        <w:rPr>
          <w:sz w:val="20"/>
          <w:szCs w:val="20"/>
          <w:lang w:eastAsia="ja-JP"/>
        </w:rPr>
        <w:t>additional power control requirements beside dynamic range requirements will be defined in Rel-16</w:t>
      </w:r>
      <w:r w:rsidR="004D468D" w:rsidRPr="00C75C7E">
        <w:rPr>
          <w:sz w:val="20"/>
          <w:szCs w:val="20"/>
          <w:lang w:eastAsia="ja-JP"/>
        </w:rPr>
        <w:t xml:space="preserve"> with FFS on </w:t>
      </w:r>
      <w:r w:rsidRPr="00C75C7E">
        <w:rPr>
          <w:sz w:val="20"/>
          <w:szCs w:val="20"/>
          <w:lang w:eastAsia="ja-JP"/>
        </w:rPr>
        <w:t>how the dynamic range requirements can guarantee the accuracy not only minimum threshold, which can be further discussed in performance phase.</w:t>
      </w:r>
      <w:r w:rsidR="004D468D" w:rsidRPr="00C75C7E">
        <w:rPr>
          <w:rFonts w:hint="eastAsia"/>
          <w:sz w:val="20"/>
          <w:szCs w:val="20"/>
        </w:rPr>
        <w:t xml:space="preserve"> </w:t>
      </w:r>
      <w:r w:rsidRPr="00C75C7E">
        <w:rPr>
          <w:sz w:val="20"/>
          <w:szCs w:val="20"/>
          <w:lang w:eastAsia="ja-JP"/>
        </w:rPr>
        <w:t>For LA IAB-MT</w:t>
      </w:r>
      <w:r w:rsidR="004D468D" w:rsidRPr="00C75C7E">
        <w:rPr>
          <w:rFonts w:hint="eastAsia"/>
          <w:sz w:val="20"/>
          <w:szCs w:val="20"/>
        </w:rPr>
        <w:t xml:space="preserve"> </w:t>
      </w:r>
      <w:r w:rsidR="004D468D" w:rsidRPr="00C75C7E">
        <w:rPr>
          <w:sz w:val="20"/>
          <w:szCs w:val="20"/>
        </w:rPr>
        <w:t xml:space="preserve">it is agreed to </w:t>
      </w:r>
      <w:r w:rsidR="004D468D" w:rsidRPr="00C75C7E">
        <w:rPr>
          <w:sz w:val="20"/>
          <w:szCs w:val="20"/>
          <w:lang w:eastAsia="ja-JP"/>
        </w:rPr>
        <w:t>i</w:t>
      </w:r>
      <w:r w:rsidRPr="00C75C7E">
        <w:rPr>
          <w:sz w:val="20"/>
          <w:szCs w:val="20"/>
          <w:lang w:eastAsia="ja-JP"/>
        </w:rPr>
        <w:t>ntrod</w:t>
      </w:r>
      <w:r w:rsidR="0038370A" w:rsidRPr="00C75C7E">
        <w:rPr>
          <w:sz w:val="20"/>
          <w:szCs w:val="20"/>
          <w:lang w:eastAsia="ja-JP"/>
        </w:rPr>
        <w:t xml:space="preserve">uce power control requirements but </w:t>
      </w:r>
      <w:r w:rsidRPr="00C75C7E">
        <w:rPr>
          <w:sz w:val="20"/>
          <w:szCs w:val="20"/>
          <w:lang w:eastAsia="ja-JP"/>
        </w:rPr>
        <w:t>FFS for the details</w:t>
      </w:r>
      <w:r w:rsidR="00231DD6" w:rsidRPr="00C75C7E">
        <w:rPr>
          <w:sz w:val="20"/>
          <w:szCs w:val="20"/>
          <w:lang w:eastAsia="ja-JP"/>
        </w:rPr>
        <w:t xml:space="preserve">. </w:t>
      </w:r>
    </w:p>
    <w:p w:rsidR="00231DD6" w:rsidRDefault="00231DD6" w:rsidP="00231DD6">
      <w:pPr>
        <w:rPr>
          <w:rFonts w:ascii="Calibri" w:hAnsi="Calibri" w:cs="Calibri"/>
          <w:iCs/>
          <w:sz w:val="20"/>
          <w:szCs w:val="20"/>
        </w:rPr>
      </w:pPr>
      <w:r w:rsidRPr="00C75C7E">
        <w:rPr>
          <w:sz w:val="20"/>
          <w:szCs w:val="20"/>
          <w:lang w:eastAsia="ja-JP"/>
        </w:rPr>
        <w:t xml:space="preserve">There are three items in sub-clause for UE power control as </w:t>
      </w:r>
      <w:r w:rsidRPr="00C75C7E">
        <w:rPr>
          <w:rFonts w:ascii="Calibri" w:hAnsi="Calibri" w:cs="Calibri"/>
          <w:iCs/>
          <w:sz w:val="20"/>
          <w:szCs w:val="20"/>
        </w:rPr>
        <w:t xml:space="preserve">Absolute power </w:t>
      </w:r>
      <w:r w:rsidR="00C43A6F">
        <w:rPr>
          <w:rFonts w:ascii="Calibri" w:hAnsi="Calibri" w:cs="Calibri"/>
          <w:iCs/>
          <w:sz w:val="20"/>
          <w:szCs w:val="20"/>
        </w:rPr>
        <w:t xml:space="preserve">tolerance, Relative power tolerance </w:t>
      </w:r>
      <w:r w:rsidRPr="00C75C7E">
        <w:rPr>
          <w:rFonts w:ascii="Calibri" w:hAnsi="Calibri" w:cs="Calibri"/>
          <w:iCs/>
          <w:sz w:val="20"/>
          <w:szCs w:val="20"/>
        </w:rPr>
        <w:t xml:space="preserve">and aggregated power </w:t>
      </w:r>
      <w:r w:rsidR="00C43A6F">
        <w:rPr>
          <w:rFonts w:ascii="Calibri" w:hAnsi="Calibri" w:cs="Calibri"/>
          <w:iCs/>
          <w:sz w:val="20"/>
          <w:szCs w:val="20"/>
        </w:rPr>
        <w:t>tolerance</w:t>
      </w:r>
      <w:r w:rsidRPr="00C75C7E">
        <w:rPr>
          <w:rFonts w:ascii="Calibri" w:hAnsi="Calibri" w:cs="Calibri"/>
          <w:iCs/>
          <w:sz w:val="20"/>
          <w:szCs w:val="20"/>
        </w:rPr>
        <w:t xml:space="preserve">. </w:t>
      </w:r>
      <w:r w:rsidRPr="00C75C7E">
        <w:rPr>
          <w:rFonts w:ascii="Calibri" w:hAnsi="Calibri" w:cs="Calibri" w:hint="eastAsia"/>
          <w:iCs/>
          <w:sz w:val="20"/>
          <w:szCs w:val="20"/>
        </w:rPr>
        <w:t>H</w:t>
      </w:r>
      <w:r w:rsidRPr="00C75C7E">
        <w:rPr>
          <w:rFonts w:ascii="Calibri" w:hAnsi="Calibri" w:cs="Calibri"/>
          <w:iCs/>
          <w:sz w:val="20"/>
          <w:szCs w:val="20"/>
        </w:rPr>
        <w:t>owever, they may not be applicable for IAB-MT considering the planned and fixed deployment in Rel-16. Even though for unplanned deployment case it still does not mean the IAB node can be drop without any restriction, which means the IAB node including IAB-MT interface can obtain rough knowledge on scenario to be deployment</w:t>
      </w:r>
      <w:r w:rsidR="0066484F" w:rsidRPr="00C75C7E">
        <w:rPr>
          <w:rFonts w:ascii="Calibri" w:hAnsi="Calibri" w:cs="Calibri"/>
          <w:iCs/>
          <w:sz w:val="20"/>
          <w:szCs w:val="20"/>
        </w:rPr>
        <w:t xml:space="preserve"> including the topology beforehand</w:t>
      </w:r>
      <w:r w:rsidRPr="00C75C7E">
        <w:rPr>
          <w:rFonts w:ascii="Calibri" w:hAnsi="Calibri" w:cs="Calibri"/>
          <w:iCs/>
          <w:sz w:val="20"/>
          <w:szCs w:val="20"/>
        </w:rPr>
        <w:t>. In addition,</w:t>
      </w:r>
      <w:r w:rsidR="0066484F" w:rsidRPr="00C75C7E">
        <w:rPr>
          <w:rFonts w:ascii="Calibri" w:hAnsi="Calibri" w:cs="Calibri"/>
          <w:iCs/>
          <w:sz w:val="20"/>
          <w:szCs w:val="20"/>
        </w:rPr>
        <w:t xml:space="preserve"> considering the deployment complexity it is not anticipated the</w:t>
      </w:r>
      <w:r w:rsidR="00B009A6" w:rsidRPr="00C75C7E">
        <w:rPr>
          <w:rFonts w:ascii="Calibri" w:hAnsi="Calibri" w:cs="Calibri"/>
          <w:iCs/>
          <w:sz w:val="20"/>
          <w:szCs w:val="20"/>
        </w:rPr>
        <w:t xml:space="preserve"> too complicated topology in beginning reality operation. And the IAB-MT is expected to transmit at pre-defined directions with relative constant power level. Hence it is suggested not to bring absolute power control considering the lower necessity to verify the open loop power control performance for IAB-MT at current release. </w:t>
      </w:r>
    </w:p>
    <w:p w:rsidR="00C26D59" w:rsidRDefault="00C26D59" w:rsidP="00231DD6">
      <w:pPr>
        <w:rPr>
          <w:sz w:val="20"/>
          <w:szCs w:val="20"/>
        </w:rPr>
      </w:pPr>
      <w:r w:rsidRPr="00C75C7E">
        <w:rPr>
          <w:rFonts w:hint="eastAsia"/>
          <w:b/>
          <w:sz w:val="20"/>
          <w:szCs w:val="20"/>
        </w:rPr>
        <w:t>O</w:t>
      </w:r>
      <w:r w:rsidRPr="00C75C7E">
        <w:rPr>
          <w:b/>
          <w:sz w:val="20"/>
          <w:szCs w:val="20"/>
        </w:rPr>
        <w:t>bservation 1</w:t>
      </w:r>
      <w:r w:rsidRPr="00C75C7E">
        <w:rPr>
          <w:sz w:val="20"/>
          <w:szCs w:val="20"/>
        </w:rPr>
        <w:t xml:space="preserve">: Due to deployment scenario there is no strong necessity to define absolute </w:t>
      </w:r>
      <w:r>
        <w:rPr>
          <w:sz w:val="20"/>
          <w:szCs w:val="20"/>
        </w:rPr>
        <w:t xml:space="preserve">power tolerance </w:t>
      </w:r>
      <w:r w:rsidRPr="00C75C7E">
        <w:rPr>
          <w:sz w:val="20"/>
          <w:szCs w:val="20"/>
        </w:rPr>
        <w:t>for IAB-MT to verify open loop power control.</w:t>
      </w:r>
    </w:p>
    <w:p w:rsidR="00C26D59" w:rsidRPr="00C26D59" w:rsidRDefault="00C26D59" w:rsidP="00231DD6">
      <w:pPr>
        <w:rPr>
          <w:sz w:val="20"/>
          <w:szCs w:val="20"/>
        </w:rPr>
      </w:pPr>
    </w:p>
    <w:p w:rsidR="000A6F09" w:rsidRPr="00C75C7E" w:rsidRDefault="00CC5679" w:rsidP="00231DD6">
      <w:pPr>
        <w:rPr>
          <w:rFonts w:ascii="Calibri" w:hAnsi="Calibri" w:cs="Calibri"/>
          <w:iCs/>
          <w:sz w:val="20"/>
          <w:szCs w:val="20"/>
        </w:rPr>
      </w:pPr>
      <w:r w:rsidRPr="00C75C7E">
        <w:rPr>
          <w:rFonts w:ascii="Calibri" w:hAnsi="Calibri" w:cs="Calibri"/>
          <w:iCs/>
          <w:sz w:val="20"/>
          <w:szCs w:val="20"/>
        </w:rPr>
        <w:t>To support</w:t>
      </w:r>
      <w:r w:rsidR="000A6F09" w:rsidRPr="00C75C7E">
        <w:rPr>
          <w:rFonts w:ascii="Calibri" w:hAnsi="Calibri" w:cs="Calibri"/>
          <w:iCs/>
          <w:sz w:val="20"/>
          <w:szCs w:val="20"/>
        </w:rPr>
        <w:t xml:space="preserve"> closed loop power </w:t>
      </w:r>
      <w:r w:rsidR="00416A72" w:rsidRPr="00C75C7E">
        <w:rPr>
          <w:rFonts w:ascii="Calibri" w:hAnsi="Calibri" w:cs="Calibri"/>
          <w:iCs/>
          <w:sz w:val="20"/>
          <w:szCs w:val="20"/>
        </w:rPr>
        <w:t>control</w:t>
      </w:r>
      <w:r w:rsidRPr="00C75C7E">
        <w:rPr>
          <w:sz w:val="20"/>
          <w:szCs w:val="20"/>
        </w:rPr>
        <w:t>,</w:t>
      </w:r>
      <w:r w:rsidR="00416A72" w:rsidRPr="00C75C7E">
        <w:rPr>
          <w:sz w:val="20"/>
          <w:szCs w:val="20"/>
        </w:rPr>
        <w:t xml:space="preserve"> IAB-MT </w:t>
      </w:r>
      <w:r w:rsidR="009D02AD">
        <w:rPr>
          <w:sz w:val="20"/>
          <w:szCs w:val="20"/>
        </w:rPr>
        <w:t>should be able to</w:t>
      </w:r>
      <w:r w:rsidR="00416A72" w:rsidRPr="00C75C7E">
        <w:rPr>
          <w:sz w:val="20"/>
          <w:szCs w:val="20"/>
        </w:rPr>
        <w:t xml:space="preserve"> adjust it output power according to BS command based on monitoring the UL link quality.</w:t>
      </w:r>
      <w:r w:rsidR="009D02AD">
        <w:rPr>
          <w:sz w:val="20"/>
          <w:szCs w:val="20"/>
        </w:rPr>
        <w:t xml:space="preserve"> For UE t</w:t>
      </w:r>
      <w:r w:rsidRPr="00C75C7E">
        <w:rPr>
          <w:sz w:val="20"/>
          <w:szCs w:val="20"/>
        </w:rPr>
        <w:t xml:space="preserve">his feature is verified by both relative power </w:t>
      </w:r>
      <w:r w:rsidR="00C43A6F">
        <w:rPr>
          <w:sz w:val="20"/>
          <w:szCs w:val="20"/>
        </w:rPr>
        <w:t>tolerance</w:t>
      </w:r>
      <w:r w:rsidRPr="00C75C7E">
        <w:rPr>
          <w:sz w:val="20"/>
          <w:szCs w:val="20"/>
        </w:rPr>
        <w:t xml:space="preserve"> and aggregated power </w:t>
      </w:r>
      <w:r w:rsidR="00C43A6F">
        <w:rPr>
          <w:sz w:val="20"/>
          <w:szCs w:val="20"/>
        </w:rPr>
        <w:t xml:space="preserve">tolerance with different step size on power adjustment through </w:t>
      </w:r>
      <w:r w:rsidR="005E2E31">
        <w:rPr>
          <w:sz w:val="20"/>
          <w:szCs w:val="20"/>
        </w:rPr>
        <w:t xml:space="preserve">TPC </w:t>
      </w:r>
      <w:r w:rsidR="00C43A6F">
        <w:rPr>
          <w:sz w:val="20"/>
          <w:szCs w:val="20"/>
        </w:rPr>
        <w:t>command</w:t>
      </w:r>
      <w:r w:rsidR="005E2E31">
        <w:rPr>
          <w:sz w:val="20"/>
          <w:szCs w:val="20"/>
        </w:rPr>
        <w:t xml:space="preserve"> from BS</w:t>
      </w:r>
      <w:r w:rsidR="00C43A6F">
        <w:rPr>
          <w:sz w:val="20"/>
          <w:szCs w:val="20"/>
        </w:rPr>
        <w:t>.</w:t>
      </w:r>
      <w:r w:rsidRPr="00C75C7E">
        <w:rPr>
          <w:sz w:val="20"/>
          <w:szCs w:val="20"/>
        </w:rPr>
        <w:t xml:space="preserve"> </w:t>
      </w:r>
      <w:r w:rsidR="00C43A6F">
        <w:rPr>
          <w:sz w:val="20"/>
          <w:szCs w:val="20"/>
        </w:rPr>
        <w:t>As agreed in last meeting the</w:t>
      </w:r>
      <w:r w:rsidR="005E2E31">
        <w:rPr>
          <w:sz w:val="20"/>
          <w:szCs w:val="20"/>
        </w:rPr>
        <w:t xml:space="preserve"> dynamic range[X] is only 10dB </w:t>
      </w:r>
      <w:r w:rsidR="00962181">
        <w:rPr>
          <w:sz w:val="20"/>
          <w:szCs w:val="20"/>
        </w:rPr>
        <w:t xml:space="preserve">for LA IAB-MT, the accumulation of TPC command step size, power accuracy and TT may exceed this range or closed to the similar quantity. Hence the quantity measurement with accuracy may not be practical. </w:t>
      </w:r>
      <w:r w:rsidR="00C54776">
        <w:rPr>
          <w:sz w:val="20"/>
          <w:szCs w:val="20"/>
        </w:rPr>
        <w:t>On the other hand, as</w:t>
      </w:r>
      <w:r w:rsidR="00962181">
        <w:rPr>
          <w:sz w:val="20"/>
          <w:szCs w:val="20"/>
        </w:rPr>
        <w:t xml:space="preserve"> discussed in dynamic PSD dynamic range(X), the simulative TPC command “down” is proposed to be used to configure IAB-MT adjustment to min TX level, which can verify the ability of IAB-MT to adjust its output power according to BS command. </w:t>
      </w:r>
      <w:r w:rsidR="00C54776">
        <w:rPr>
          <w:sz w:val="20"/>
          <w:szCs w:val="20"/>
        </w:rPr>
        <w:t>Hence one candidate solution is to verify the closed loop power control implicitly in dynamic range (X)-</w:t>
      </w:r>
      <w:r w:rsidR="006743CD">
        <w:rPr>
          <w:sz w:val="20"/>
          <w:szCs w:val="20"/>
        </w:rPr>
        <w:t>dynamic</w:t>
      </w:r>
      <w:r w:rsidR="00C54776">
        <w:rPr>
          <w:sz w:val="20"/>
          <w:szCs w:val="20"/>
        </w:rPr>
        <w:t xml:space="preserve"> PSD requirement. </w:t>
      </w:r>
    </w:p>
    <w:p w:rsidR="00B009A6" w:rsidRDefault="00B009A6" w:rsidP="004D468D">
      <w:pPr>
        <w:rPr>
          <w:sz w:val="20"/>
          <w:szCs w:val="20"/>
        </w:rPr>
      </w:pPr>
      <w:r w:rsidRPr="00C75C7E">
        <w:rPr>
          <w:b/>
          <w:sz w:val="20"/>
          <w:szCs w:val="20"/>
        </w:rPr>
        <w:t>Observation 2</w:t>
      </w:r>
      <w:r w:rsidRPr="00C75C7E">
        <w:rPr>
          <w:sz w:val="20"/>
          <w:szCs w:val="20"/>
        </w:rPr>
        <w:t xml:space="preserve">: closed loop power control can be verified to some extend by </w:t>
      </w:r>
      <w:r w:rsidR="00416A72" w:rsidRPr="00C75C7E">
        <w:rPr>
          <w:sz w:val="20"/>
          <w:szCs w:val="20"/>
        </w:rPr>
        <w:t>dynamic</w:t>
      </w:r>
      <w:r w:rsidR="00D635BF" w:rsidRPr="00C75C7E">
        <w:rPr>
          <w:sz w:val="20"/>
          <w:szCs w:val="20"/>
        </w:rPr>
        <w:t xml:space="preserve"> range(X)-dynamic PSD with procedure proposed in this contribution.</w:t>
      </w:r>
    </w:p>
    <w:p w:rsidR="00C54776" w:rsidRDefault="00C54776" w:rsidP="004D468D">
      <w:pPr>
        <w:rPr>
          <w:sz w:val="20"/>
          <w:szCs w:val="20"/>
        </w:rPr>
      </w:pPr>
    </w:p>
    <w:p w:rsidR="00C54776" w:rsidRPr="00C75C7E" w:rsidRDefault="00C54776" w:rsidP="004D468D">
      <w:pPr>
        <w:rPr>
          <w:sz w:val="20"/>
          <w:szCs w:val="20"/>
        </w:rPr>
      </w:pPr>
      <w:r>
        <w:rPr>
          <w:rFonts w:hint="eastAsia"/>
          <w:sz w:val="20"/>
          <w:szCs w:val="20"/>
        </w:rPr>
        <w:lastRenderedPageBreak/>
        <w:t>B</w:t>
      </w:r>
      <w:r>
        <w:rPr>
          <w:sz w:val="20"/>
          <w:szCs w:val="20"/>
        </w:rPr>
        <w:t xml:space="preserve">ased on above analysis, it seems no explicit power control requirement needed for fixed IAB-MT within this release. </w:t>
      </w:r>
    </w:p>
    <w:p w:rsidR="00B009A6" w:rsidRDefault="00B009A6" w:rsidP="004D468D">
      <w:pPr>
        <w:rPr>
          <w:sz w:val="20"/>
          <w:szCs w:val="20"/>
        </w:rPr>
      </w:pPr>
      <w:r w:rsidRPr="00C75C7E">
        <w:rPr>
          <w:rFonts w:hint="eastAsia"/>
          <w:b/>
          <w:sz w:val="20"/>
          <w:szCs w:val="20"/>
        </w:rPr>
        <w:t>P</w:t>
      </w:r>
      <w:r w:rsidRPr="00C75C7E">
        <w:rPr>
          <w:b/>
          <w:sz w:val="20"/>
          <w:szCs w:val="20"/>
        </w:rPr>
        <w:t>roposal</w:t>
      </w:r>
      <w:r w:rsidR="00B716C7" w:rsidRPr="00C75C7E">
        <w:rPr>
          <w:b/>
          <w:sz w:val="20"/>
          <w:szCs w:val="20"/>
        </w:rPr>
        <w:t xml:space="preserve"> </w:t>
      </w:r>
      <w:r w:rsidR="00EB56E5" w:rsidRPr="00C75C7E">
        <w:rPr>
          <w:b/>
          <w:sz w:val="20"/>
          <w:szCs w:val="20"/>
        </w:rPr>
        <w:t>7</w:t>
      </w:r>
      <w:r w:rsidRPr="00C75C7E">
        <w:rPr>
          <w:sz w:val="20"/>
          <w:szCs w:val="20"/>
        </w:rPr>
        <w:t>: no explicit power control requirement to be defined in release 16</w:t>
      </w:r>
      <w:r w:rsidR="00B716C7" w:rsidRPr="00C75C7E">
        <w:rPr>
          <w:sz w:val="20"/>
          <w:szCs w:val="20"/>
        </w:rPr>
        <w:t xml:space="preserve"> </w:t>
      </w:r>
      <w:r w:rsidR="00EB56E5" w:rsidRPr="00C75C7E">
        <w:rPr>
          <w:sz w:val="20"/>
          <w:szCs w:val="20"/>
        </w:rPr>
        <w:t xml:space="preserve">for </w:t>
      </w:r>
      <w:r w:rsidR="00B716C7" w:rsidRPr="00C75C7E">
        <w:rPr>
          <w:sz w:val="20"/>
          <w:szCs w:val="20"/>
        </w:rPr>
        <w:t xml:space="preserve">fixed IAB-MT. </w:t>
      </w:r>
    </w:p>
    <w:p w:rsidR="00770CF4" w:rsidRDefault="00770CF4" w:rsidP="004D468D">
      <w:pPr>
        <w:rPr>
          <w:sz w:val="20"/>
          <w:szCs w:val="20"/>
        </w:rPr>
      </w:pPr>
    </w:p>
    <w:p w:rsidR="00770CF4" w:rsidRDefault="00770CF4" w:rsidP="004D468D">
      <w:pPr>
        <w:rPr>
          <w:b/>
          <w:sz w:val="20"/>
          <w:szCs w:val="20"/>
        </w:rPr>
      </w:pPr>
      <w:r w:rsidRPr="00770CF4">
        <w:rPr>
          <w:b/>
          <w:sz w:val="20"/>
          <w:szCs w:val="20"/>
        </w:rPr>
        <w:t>P</w:t>
      </w:r>
      <w:r w:rsidRPr="00770CF4">
        <w:rPr>
          <w:b/>
          <w:sz w:val="20"/>
          <w:szCs w:val="20"/>
          <w:vertAlign w:val="subscript"/>
        </w:rPr>
        <w:t>cmax</w:t>
      </w:r>
      <w:r w:rsidRPr="00770CF4">
        <w:rPr>
          <w:b/>
          <w:sz w:val="20"/>
          <w:szCs w:val="20"/>
        </w:rPr>
        <w:t xml:space="preserve"> </w:t>
      </w:r>
    </w:p>
    <w:p w:rsidR="00770CF4" w:rsidRPr="00770CF4" w:rsidRDefault="00770CF4" w:rsidP="004D468D">
      <w:pPr>
        <w:rPr>
          <w:sz w:val="20"/>
          <w:szCs w:val="20"/>
        </w:rPr>
      </w:pPr>
      <w:r w:rsidRPr="00770CF4">
        <w:rPr>
          <w:rFonts w:hint="eastAsia"/>
          <w:sz w:val="20"/>
          <w:szCs w:val="20"/>
        </w:rPr>
        <w:t>A</w:t>
      </w:r>
      <w:r w:rsidRPr="00770CF4">
        <w:rPr>
          <w:sz w:val="20"/>
          <w:szCs w:val="20"/>
        </w:rPr>
        <w:t>s</w:t>
      </w:r>
      <w:r>
        <w:rPr>
          <w:sz w:val="20"/>
          <w:szCs w:val="20"/>
        </w:rPr>
        <w:t xml:space="preserve"> discussed in previous meeting, P</w:t>
      </w:r>
      <w:r w:rsidRPr="00935BD8">
        <w:rPr>
          <w:sz w:val="20"/>
          <w:szCs w:val="20"/>
          <w:vertAlign w:val="subscript"/>
        </w:rPr>
        <w:t>cmax</w:t>
      </w:r>
      <w:r>
        <w:rPr>
          <w:sz w:val="20"/>
          <w:szCs w:val="20"/>
        </w:rPr>
        <w:t xml:space="preserve"> addressed in TS38.213 would</w:t>
      </w:r>
      <w:r w:rsidR="00D22813">
        <w:rPr>
          <w:sz w:val="20"/>
          <w:szCs w:val="20"/>
        </w:rPr>
        <w:t xml:space="preserve"> be still applicable for IAB-MT. Then</w:t>
      </w:r>
      <w:r>
        <w:rPr>
          <w:sz w:val="20"/>
          <w:szCs w:val="20"/>
        </w:rPr>
        <w:t xml:space="preserve"> RF specification </w:t>
      </w:r>
      <w:r w:rsidR="00D22813">
        <w:rPr>
          <w:sz w:val="20"/>
          <w:szCs w:val="20"/>
        </w:rPr>
        <w:t xml:space="preserve">shall provide clear definition </w:t>
      </w:r>
      <w:r>
        <w:rPr>
          <w:sz w:val="20"/>
          <w:szCs w:val="20"/>
        </w:rPr>
        <w:t>to</w:t>
      </w:r>
      <w:r w:rsidR="00A54104">
        <w:rPr>
          <w:sz w:val="20"/>
          <w:szCs w:val="20"/>
        </w:rPr>
        <w:t xml:space="preserve"> guarantee</w:t>
      </w:r>
      <w:r>
        <w:rPr>
          <w:sz w:val="20"/>
          <w:szCs w:val="20"/>
        </w:rPr>
        <w:t xml:space="preserve"> the </w:t>
      </w:r>
      <w:r w:rsidRPr="00770CF4">
        <w:rPr>
          <w:sz w:val="20"/>
          <w:szCs w:val="20"/>
        </w:rPr>
        <w:t>integrality</w:t>
      </w:r>
      <w:r>
        <w:rPr>
          <w:sz w:val="20"/>
          <w:szCs w:val="20"/>
        </w:rPr>
        <w:t xml:space="preserve"> of the </w:t>
      </w:r>
      <w:r w:rsidR="00A54104">
        <w:rPr>
          <w:sz w:val="20"/>
          <w:szCs w:val="20"/>
        </w:rPr>
        <w:t>IAB node standardization. However, it’s recognized that the difficulty to define the UE like P</w:t>
      </w:r>
      <w:r w:rsidR="00A54104" w:rsidRPr="00935BD8">
        <w:rPr>
          <w:sz w:val="20"/>
          <w:szCs w:val="20"/>
          <w:vertAlign w:val="subscript"/>
        </w:rPr>
        <w:t>cmax</w:t>
      </w:r>
      <w:r w:rsidR="00A54104">
        <w:rPr>
          <w:sz w:val="20"/>
          <w:szCs w:val="20"/>
        </w:rPr>
        <w:t xml:space="preserve"> requirement for IAB-MT especially this is the last meeting for Rel-16 IAB. Furthermore, as pointed by the discussion on power control the deployment scenario expected for fixed IAB-MT in near future would be supplied with pre-knowledge on many aspects. Hence it is accepted to have as simple method to define this requirement or merge the requirement in other existing requirements with further study on the impact on conformance testing details.    </w:t>
      </w:r>
      <w:r>
        <w:rPr>
          <w:sz w:val="20"/>
          <w:szCs w:val="20"/>
        </w:rPr>
        <w:t xml:space="preserve">  </w:t>
      </w:r>
    </w:p>
    <w:p w:rsidR="008D5F2B" w:rsidRPr="003C4D41" w:rsidRDefault="008D5F2B" w:rsidP="008D5F2B">
      <w:pPr>
        <w:pStyle w:val="1"/>
        <w:rPr>
          <w:rFonts w:cs="Arial"/>
          <w:lang w:eastAsia="zh-CN"/>
        </w:rPr>
      </w:pPr>
      <w:r>
        <w:rPr>
          <w:rFonts w:cs="Arial"/>
          <w:lang w:eastAsia="zh-CN"/>
        </w:rPr>
        <w:t xml:space="preserve">Conclusion </w:t>
      </w:r>
    </w:p>
    <w:p w:rsidR="008D5F2B" w:rsidRDefault="00C75C7E" w:rsidP="008D5F2B">
      <w:pPr>
        <w:rPr>
          <w:rFonts w:ascii="Calibri" w:hAnsi="Calibri"/>
          <w:szCs w:val="20"/>
        </w:rPr>
      </w:pPr>
      <w:r>
        <w:rPr>
          <w:rFonts w:ascii="Calibri" w:hAnsi="Calibri" w:hint="eastAsia"/>
          <w:szCs w:val="20"/>
        </w:rPr>
        <w:t>T</w:t>
      </w:r>
      <w:r>
        <w:rPr>
          <w:rFonts w:ascii="Calibri" w:hAnsi="Calibri"/>
          <w:szCs w:val="20"/>
        </w:rPr>
        <w:t>his contribution provides discussion on power related remaining issues on Tx power, dynamic range and power control with below suggestions on each topic.</w:t>
      </w:r>
    </w:p>
    <w:p w:rsidR="00C75C7E" w:rsidRPr="00C54776" w:rsidRDefault="00C75C7E" w:rsidP="008D5F2B">
      <w:pPr>
        <w:rPr>
          <w:rFonts w:ascii="Calibri" w:hAnsi="Calibri"/>
          <w:b/>
          <w:szCs w:val="20"/>
        </w:rPr>
      </w:pPr>
      <w:r w:rsidRPr="00C75C7E">
        <w:rPr>
          <w:rFonts w:ascii="Calibri" w:hAnsi="Calibri"/>
          <w:b/>
          <w:szCs w:val="20"/>
        </w:rPr>
        <w:t>Conducted power cap for IAB-MT type 1-H:</w:t>
      </w:r>
    </w:p>
    <w:p w:rsidR="00C75C7E" w:rsidRDefault="00C75C7E" w:rsidP="00C75C7E">
      <w:r w:rsidRPr="00C67C0E">
        <w:rPr>
          <w:rFonts w:hint="eastAsia"/>
          <w:b/>
        </w:rPr>
        <w:t>P</w:t>
      </w:r>
      <w:r w:rsidRPr="00C67C0E">
        <w:rPr>
          <w:b/>
        </w:rPr>
        <w:t>roposal 1</w:t>
      </w:r>
      <w:r>
        <w:t>: P</w:t>
      </w:r>
      <w:r w:rsidRPr="00C67C0E">
        <w:rPr>
          <w:vertAlign w:val="subscript"/>
        </w:rPr>
        <w:t>rated,c,TABC</w:t>
      </w:r>
      <w:r>
        <w:t xml:space="preserve"> for LA IAB-MT type 1-H is suggested to be defined as 38dBm. </w:t>
      </w:r>
    </w:p>
    <w:p w:rsidR="00416A72" w:rsidRPr="00C75C7E" w:rsidRDefault="00C75C7E" w:rsidP="008D5F2B">
      <w:r w:rsidRPr="00CA33C8">
        <w:rPr>
          <w:rFonts w:hint="eastAsia"/>
          <w:b/>
        </w:rPr>
        <w:t>P</w:t>
      </w:r>
      <w:r w:rsidRPr="00CA33C8">
        <w:rPr>
          <w:b/>
        </w:rPr>
        <w:t>roposal 2</w:t>
      </w:r>
      <w:r>
        <w:t xml:space="preserve">: The scaling factor of basic limit for </w:t>
      </w:r>
      <w:r w:rsidR="00523773">
        <w:t xml:space="preserve">LA </w:t>
      </w:r>
      <w:r>
        <w:t>gNB type 1-H is applied for</w:t>
      </w:r>
      <w:r w:rsidR="00523773">
        <w:t xml:space="preserve"> LA</w:t>
      </w:r>
      <w:r>
        <w:t xml:space="preserve"> IAB-MT type 1-H.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7"/>
        <w:gridCol w:w="2573"/>
        <w:gridCol w:w="1027"/>
      </w:tblGrid>
      <w:tr w:rsidR="00416A72" w:rsidRPr="00F95B02" w:rsidTr="00B51592">
        <w:trPr>
          <w:tblHeader/>
          <w:jc w:val="center"/>
        </w:trPr>
        <w:tc>
          <w:tcPr>
            <w:tcW w:w="0" w:type="auto"/>
            <w:hideMark/>
          </w:tcPr>
          <w:p w:rsidR="00416A72" w:rsidRPr="00F95B02" w:rsidRDefault="00416A72" w:rsidP="00B51592">
            <w:pPr>
              <w:pStyle w:val="TAH"/>
            </w:pPr>
            <w:r>
              <w:t>IAB MT</w:t>
            </w:r>
            <w:r w:rsidRPr="00F95B02">
              <w:t xml:space="preserve"> class</w:t>
            </w:r>
          </w:p>
        </w:tc>
        <w:tc>
          <w:tcPr>
            <w:tcW w:w="0" w:type="auto"/>
            <w:hideMark/>
          </w:tcPr>
          <w:p w:rsidR="00416A72" w:rsidRPr="00F95B02" w:rsidRDefault="00416A72" w:rsidP="00B51592">
            <w:pPr>
              <w:pStyle w:val="TAH"/>
            </w:pPr>
            <w:r w:rsidRPr="00F95B02">
              <w:t>P</w:t>
            </w:r>
            <w:r w:rsidRPr="00F95B02">
              <w:rPr>
                <w:vertAlign w:val="subscript"/>
              </w:rPr>
              <w:t>rated,c,sys</w:t>
            </w:r>
          </w:p>
        </w:tc>
        <w:tc>
          <w:tcPr>
            <w:tcW w:w="0" w:type="auto"/>
          </w:tcPr>
          <w:p w:rsidR="00416A72" w:rsidRPr="00F95B02" w:rsidRDefault="00416A72" w:rsidP="00B51592">
            <w:pPr>
              <w:pStyle w:val="TAH"/>
            </w:pPr>
            <w:r w:rsidRPr="00F95B02">
              <w:t>P</w:t>
            </w:r>
            <w:r w:rsidRPr="00F95B02">
              <w:rPr>
                <w:vertAlign w:val="subscript"/>
              </w:rPr>
              <w:t>rated,c,TABC</w:t>
            </w:r>
          </w:p>
        </w:tc>
      </w:tr>
      <w:tr w:rsidR="00416A72" w:rsidRPr="00F95B02" w:rsidTr="00B51592">
        <w:trPr>
          <w:jc w:val="center"/>
        </w:trPr>
        <w:tc>
          <w:tcPr>
            <w:tcW w:w="0" w:type="auto"/>
            <w:hideMark/>
          </w:tcPr>
          <w:p w:rsidR="00416A72" w:rsidRPr="00F95B02" w:rsidRDefault="00416A72" w:rsidP="00B51592">
            <w:pPr>
              <w:pStyle w:val="TAC"/>
            </w:pPr>
            <w:r>
              <w:t>Local Area</w:t>
            </w:r>
            <w:r w:rsidRPr="00F95B02">
              <w:t xml:space="preserve"> </w:t>
            </w:r>
            <w:r>
              <w:t>IAB-MT</w:t>
            </w:r>
          </w:p>
        </w:tc>
        <w:tc>
          <w:tcPr>
            <w:tcW w:w="0" w:type="auto"/>
            <w:hideMark/>
          </w:tcPr>
          <w:p w:rsidR="00416A72" w:rsidRPr="00F95B02" w:rsidRDefault="00416A72" w:rsidP="00B51592">
            <w:pPr>
              <w:pStyle w:val="TAC"/>
              <w:rPr>
                <w:lang w:eastAsia="ja-JP"/>
              </w:rPr>
            </w:pPr>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416A72" w:rsidRPr="00F95B02" w:rsidRDefault="00416A72" w:rsidP="00B51592">
            <w:pPr>
              <w:pStyle w:val="TAC"/>
              <w:rPr>
                <w:lang w:eastAsia="ja-JP"/>
              </w:rPr>
            </w:pPr>
            <w:r w:rsidRPr="00F95B02">
              <w:rPr>
                <w:rFonts w:hint="eastAsia"/>
                <w:lang w:eastAsia="ja-JP"/>
              </w:rPr>
              <w:t>≤</w:t>
            </w:r>
            <w:r w:rsidRPr="00F95B02">
              <w:rPr>
                <w:lang w:eastAsia="ja-JP"/>
              </w:rPr>
              <w:t xml:space="preserve"> 38 dBm</w:t>
            </w:r>
          </w:p>
        </w:tc>
      </w:tr>
    </w:tbl>
    <w:p w:rsidR="00416A72" w:rsidRDefault="00416A72" w:rsidP="00416A72">
      <w:pPr>
        <w:rPr>
          <w:lang w:val="en-GB"/>
        </w:rPr>
      </w:pPr>
    </w:p>
    <w:p w:rsidR="00C75C7E" w:rsidRPr="00C75C7E" w:rsidRDefault="00C75C7E" w:rsidP="00416A72">
      <w:pPr>
        <w:rPr>
          <w:b/>
          <w:lang w:val="en-GB"/>
        </w:rPr>
      </w:pPr>
      <w:r w:rsidRPr="00C75C7E">
        <w:rPr>
          <w:rFonts w:hint="eastAsia"/>
          <w:b/>
          <w:lang w:val="en-GB"/>
        </w:rPr>
        <w:t>T</w:t>
      </w:r>
      <w:r w:rsidRPr="00C75C7E">
        <w:rPr>
          <w:b/>
          <w:lang w:val="en-GB"/>
        </w:rPr>
        <w:t>RP upper limit for LA IAB-MT type 1-O:</w:t>
      </w:r>
    </w:p>
    <w:p w:rsidR="00C75C7E" w:rsidRDefault="00C75C7E" w:rsidP="00C75C7E">
      <w:r w:rsidRPr="00C67C0E">
        <w:rPr>
          <w:rFonts w:hint="eastAsia"/>
          <w:b/>
        </w:rPr>
        <w:t>P</w:t>
      </w:r>
      <w:r w:rsidRPr="00C67C0E">
        <w:rPr>
          <w:b/>
        </w:rPr>
        <w:t xml:space="preserve">roposal </w:t>
      </w:r>
      <w:r>
        <w:rPr>
          <w:b/>
        </w:rPr>
        <w:t>3</w:t>
      </w:r>
      <w:r>
        <w:t xml:space="preserve">: TRP upper limit for LA IAB-MT type 1-O is suggested to be defined as 47dBm. </w:t>
      </w:r>
    </w:p>
    <w:p w:rsidR="00416A72" w:rsidRPr="00C75C7E" w:rsidRDefault="00C75C7E" w:rsidP="008D5F2B">
      <w:pPr>
        <w:rPr>
          <w:rFonts w:eastAsia="MS Mincho"/>
          <w:lang w:eastAsia="ja-JP"/>
        </w:rPr>
      </w:pPr>
      <w:r w:rsidRPr="00D1592A">
        <w:rPr>
          <w:b/>
          <w:lang w:eastAsia="ja-JP"/>
        </w:rPr>
        <w:t>Proposal 4</w:t>
      </w:r>
      <w:r>
        <w:rPr>
          <w:lang w:eastAsia="ja-JP"/>
        </w:rPr>
        <w:t xml:space="preserve">: It is suggested to utilize scaling factor 8 of basic limit for IAB-MT type 1-O. </w:t>
      </w:r>
    </w:p>
    <w:tbl>
      <w:tblPr>
        <w:tblW w:w="0" w:type="auto"/>
        <w:jc w:val="center"/>
        <w:tblCellMar>
          <w:left w:w="0" w:type="dxa"/>
          <w:right w:w="0" w:type="dxa"/>
        </w:tblCellMar>
        <w:tblLook w:val="04A0" w:firstRow="1" w:lastRow="0" w:firstColumn="1" w:lastColumn="0" w:noHBand="0" w:noVBand="1"/>
      </w:tblPr>
      <w:tblGrid>
        <w:gridCol w:w="2150"/>
        <w:gridCol w:w="4500"/>
      </w:tblGrid>
      <w:tr w:rsidR="00330CE3" w:rsidRPr="00F95B02" w:rsidTr="00B51592">
        <w:trPr>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30CE3" w:rsidRPr="00F95B02" w:rsidRDefault="00330CE3" w:rsidP="00B51592">
            <w:pPr>
              <w:pStyle w:val="TAH"/>
            </w:pPr>
            <w:r>
              <w:t>IAB MT</w:t>
            </w:r>
            <w:r w:rsidRPr="00F95B02">
              <w:t xml:space="preserve">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30CE3" w:rsidRPr="00F95B02" w:rsidRDefault="00330CE3" w:rsidP="00B51592">
            <w:pPr>
              <w:pStyle w:val="TAH"/>
            </w:pPr>
            <w:r w:rsidRPr="00F95B02">
              <w:t>P</w:t>
            </w:r>
            <w:r w:rsidRPr="00F95B02">
              <w:rPr>
                <w:vertAlign w:val="subscript"/>
              </w:rPr>
              <w:t>rated,c,TRP</w:t>
            </w:r>
          </w:p>
        </w:tc>
      </w:tr>
      <w:tr w:rsidR="00330CE3" w:rsidRPr="00F95B02" w:rsidTr="00B51592">
        <w:trPr>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30CE3" w:rsidRPr="00F95B02" w:rsidRDefault="00330CE3" w:rsidP="00B51592">
            <w:pPr>
              <w:pStyle w:val="TAC"/>
            </w:pPr>
            <w:r>
              <w:t>Local Area IAB-MT</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rsidR="00330CE3" w:rsidRPr="00F95B02" w:rsidRDefault="00330CE3" w:rsidP="00B51592">
            <w:pPr>
              <w:pStyle w:val="TAC"/>
            </w:pPr>
            <w:r w:rsidRPr="00F95B02">
              <w:rPr>
                <w:rFonts w:hint="eastAsia"/>
              </w:rPr>
              <w:t>≤</w:t>
            </w:r>
            <w:r w:rsidRPr="00F95B02">
              <w:t xml:space="preserve"> + 47 dBm</w:t>
            </w:r>
          </w:p>
        </w:tc>
      </w:tr>
    </w:tbl>
    <w:p w:rsidR="00C75C7E" w:rsidRDefault="00C75C7E" w:rsidP="00DF5202"/>
    <w:p w:rsidR="00C75C7E" w:rsidRPr="00C75C7E" w:rsidRDefault="00C75C7E" w:rsidP="00DF5202">
      <w:pPr>
        <w:rPr>
          <w:b/>
        </w:rPr>
      </w:pPr>
      <w:r w:rsidRPr="00C75C7E">
        <w:rPr>
          <w:rFonts w:hint="eastAsia"/>
          <w:b/>
        </w:rPr>
        <w:t>D</w:t>
      </w:r>
      <w:r>
        <w:rPr>
          <w:b/>
        </w:rPr>
        <w:t>ynamic range:</w:t>
      </w:r>
    </w:p>
    <w:p w:rsidR="00416A72" w:rsidRDefault="00416A72" w:rsidP="00416A72">
      <w:r w:rsidRPr="00B716C7">
        <w:rPr>
          <w:rFonts w:hint="eastAsia"/>
          <w:b/>
        </w:rPr>
        <w:t>P</w:t>
      </w:r>
      <w:r w:rsidRPr="00B716C7">
        <w:rPr>
          <w:b/>
        </w:rPr>
        <w:t xml:space="preserve">roposal 5: </w:t>
      </w:r>
      <w:r>
        <w:t>it is suggested to refer to gNB total power dynamic range for IAB-MT constant PSD dynamic range and refer to UE MOP&amp;min</w:t>
      </w:r>
      <w:r w:rsidR="007A0DA3">
        <w:t xml:space="preserve"> Tx</w:t>
      </w:r>
      <w:r>
        <w:t xml:space="preserve"> power test for IAB-MT dynamic PSD </w:t>
      </w:r>
      <w:r w:rsidR="007A0DA3">
        <w:t xml:space="preserve">dynamic range </w:t>
      </w:r>
      <w:r>
        <w:t>verification</w:t>
      </w:r>
      <w:r w:rsidRPr="00EB56E5">
        <w:t xml:space="preserve"> </w:t>
      </w:r>
    </w:p>
    <w:p w:rsidR="00416A72" w:rsidRPr="00EB56E5" w:rsidRDefault="00416A72" w:rsidP="00416A72">
      <w:r w:rsidRPr="00EB56E5">
        <w:rPr>
          <w:b/>
        </w:rPr>
        <w:t>Proposal 6</w:t>
      </w:r>
      <w:r>
        <w:t xml:space="preserve">: </w:t>
      </w:r>
      <w:r w:rsidRPr="00EB56E5">
        <w:t>I</w:t>
      </w:r>
      <w:r>
        <w:t>t’s suggested to consider reference condition</w:t>
      </w:r>
      <w:r w:rsidR="000A68C9">
        <w:t>s presented in this contribution</w:t>
      </w:r>
      <w:r>
        <w:t xml:space="preserve"> for IAB-MT dynamic range FR2. </w:t>
      </w:r>
    </w:p>
    <w:p w:rsidR="00416A72" w:rsidRDefault="00416A72" w:rsidP="00DF5202">
      <w:pPr>
        <w:rPr>
          <w:rFonts w:eastAsia="MS Mincho"/>
          <w:lang w:eastAsia="ja-JP"/>
        </w:rPr>
      </w:pPr>
    </w:p>
    <w:p w:rsidR="00C75C7E" w:rsidRPr="00C75C7E" w:rsidRDefault="00C75C7E" w:rsidP="00DF5202">
      <w:pPr>
        <w:rPr>
          <w:b/>
        </w:rPr>
      </w:pPr>
      <w:r w:rsidRPr="00C75C7E">
        <w:rPr>
          <w:rFonts w:hint="eastAsia"/>
          <w:b/>
        </w:rPr>
        <w:t>P</w:t>
      </w:r>
      <w:r w:rsidRPr="00C75C7E">
        <w:rPr>
          <w:b/>
        </w:rPr>
        <w:t>ower control for LA IAB-MT:</w:t>
      </w:r>
    </w:p>
    <w:p w:rsidR="00416A72" w:rsidRDefault="00416A72" w:rsidP="00416A72">
      <w:r w:rsidRPr="00D635BF">
        <w:rPr>
          <w:rFonts w:hint="eastAsia"/>
          <w:b/>
        </w:rPr>
        <w:t>O</w:t>
      </w:r>
      <w:r w:rsidRPr="00D635BF">
        <w:rPr>
          <w:b/>
        </w:rPr>
        <w:t>bservation 1</w:t>
      </w:r>
      <w:r>
        <w:t>: Due to deployment scenario there is no strong necessity to define absolute power control for IAB-MT to verify open loop power control.</w:t>
      </w:r>
    </w:p>
    <w:p w:rsidR="00416A72" w:rsidRPr="00B009A6" w:rsidRDefault="00416A72" w:rsidP="00416A72">
      <w:r w:rsidRPr="00D635BF">
        <w:rPr>
          <w:b/>
        </w:rPr>
        <w:t>Observation 2</w:t>
      </w:r>
      <w:r>
        <w:t>: closed loop power control can be verified to some extend by dynamic range(X)-dynamic PSD with procedure proposed in this contribution.</w:t>
      </w:r>
    </w:p>
    <w:p w:rsidR="00416A72" w:rsidRPr="00B009A6" w:rsidRDefault="00416A72" w:rsidP="00416A72">
      <w:r w:rsidRPr="00B716C7">
        <w:rPr>
          <w:rFonts w:hint="eastAsia"/>
          <w:b/>
        </w:rPr>
        <w:t>P</w:t>
      </w:r>
      <w:r w:rsidRPr="00B716C7">
        <w:rPr>
          <w:b/>
        </w:rPr>
        <w:t xml:space="preserve">roposal </w:t>
      </w:r>
      <w:r>
        <w:rPr>
          <w:b/>
        </w:rPr>
        <w:t>7</w:t>
      </w:r>
      <w:r>
        <w:t xml:space="preserve">: no explicit power control requirement to be defined in release 16 for fixed IAB-MT. </w:t>
      </w:r>
      <w:bookmarkStart w:id="1" w:name="_GoBack"/>
      <w:bookmarkEnd w:id="1"/>
    </w:p>
    <w:p w:rsidR="00416A72" w:rsidRPr="00416A72" w:rsidRDefault="00416A72" w:rsidP="00DF5202">
      <w:pPr>
        <w:rPr>
          <w:rFonts w:eastAsia="MS Mincho"/>
          <w:lang w:eastAsia="ja-JP"/>
        </w:rPr>
      </w:pPr>
    </w:p>
    <w:p w:rsidR="00501873" w:rsidRPr="003C4D41" w:rsidRDefault="003C4D41" w:rsidP="00501873">
      <w:pPr>
        <w:pStyle w:val="1"/>
        <w:rPr>
          <w:rFonts w:cs="Arial"/>
          <w:lang w:eastAsia="zh-CN"/>
        </w:rPr>
      </w:pPr>
      <w:r>
        <w:rPr>
          <w:rFonts w:cs="Arial"/>
          <w:lang w:eastAsia="zh-CN"/>
        </w:rPr>
        <w:t xml:space="preserve">Reference </w:t>
      </w:r>
    </w:p>
    <w:p w:rsidR="00EF284B" w:rsidRPr="0038481B" w:rsidRDefault="00A05256" w:rsidP="00EF284B">
      <w:pPr>
        <w:rPr>
          <w:rFonts w:ascii="Calibri" w:hAnsi="Calibri"/>
          <w:szCs w:val="20"/>
        </w:rPr>
      </w:pPr>
      <w:r>
        <w:rPr>
          <w:rFonts w:hint="eastAsia"/>
        </w:rPr>
        <w:t>[1]</w:t>
      </w:r>
      <w:r w:rsidR="00EF284B" w:rsidRPr="00EF284B">
        <w:rPr>
          <w:rFonts w:ascii="Calibri" w:hAnsi="Calibri"/>
          <w:szCs w:val="20"/>
        </w:rPr>
        <w:t xml:space="preserve"> </w:t>
      </w:r>
      <w:r w:rsidR="00E267CF">
        <w:rPr>
          <w:rFonts w:ascii="Calibri" w:hAnsi="Calibri"/>
          <w:szCs w:val="20"/>
        </w:rPr>
        <w:t>RP-2001</w:t>
      </w:r>
      <w:r w:rsidR="00A91654">
        <w:rPr>
          <w:rFonts w:ascii="Calibri" w:hAnsi="Calibri"/>
          <w:szCs w:val="20"/>
        </w:rPr>
        <w:t>322</w:t>
      </w:r>
      <w:r w:rsidR="00EF284B">
        <w:rPr>
          <w:rFonts w:ascii="Calibri" w:hAnsi="Calibri"/>
          <w:szCs w:val="20"/>
        </w:rPr>
        <w:t xml:space="preserve">, </w:t>
      </w:r>
      <w:r w:rsidR="00A91654" w:rsidRPr="00A91654">
        <w:rPr>
          <w:rFonts w:ascii="Calibri" w:hAnsi="Calibri"/>
          <w:szCs w:val="20"/>
        </w:rPr>
        <w:t>Rel-16 Work Item Exception for NR_IAB</w:t>
      </w:r>
    </w:p>
    <w:p w:rsidR="00864AE2" w:rsidRPr="00A91654" w:rsidRDefault="00EF284B" w:rsidP="00A05256">
      <w:pPr>
        <w:pStyle w:val="ZT"/>
        <w:framePr w:wrap="auto" w:hAnchor="text" w:yAlign="inline"/>
        <w:ind w:right="420"/>
        <w:jc w:val="both"/>
        <w:rPr>
          <w:rFonts w:ascii="Calibri" w:hAnsi="Calibri" w:cstheme="minorBidi"/>
          <w:b w:val="0"/>
          <w:kern w:val="2"/>
          <w:sz w:val="21"/>
          <w:lang w:val="en-US" w:eastAsia="zh-CN"/>
        </w:rPr>
      </w:pPr>
      <w:r>
        <w:rPr>
          <w:rFonts w:asciiTheme="minorHAnsi" w:hAnsiTheme="minorHAnsi" w:cstheme="minorBidi"/>
          <w:b w:val="0"/>
          <w:kern w:val="2"/>
          <w:sz w:val="21"/>
          <w:szCs w:val="22"/>
          <w:lang w:val="en-US" w:eastAsia="zh-CN"/>
        </w:rPr>
        <w:t>[2]</w:t>
      </w:r>
      <w:r w:rsidRPr="00B81599">
        <w:rPr>
          <w:rFonts w:asciiTheme="minorHAnsi" w:hAnsiTheme="minorHAnsi" w:cstheme="minorBidi"/>
          <w:b w:val="0"/>
          <w:kern w:val="2"/>
          <w:sz w:val="21"/>
          <w:szCs w:val="22"/>
          <w:lang w:val="en-US" w:eastAsia="zh-CN"/>
        </w:rPr>
        <w:t xml:space="preserve"> </w:t>
      </w:r>
      <w:r w:rsidR="00A91654" w:rsidRPr="00A91654">
        <w:rPr>
          <w:rFonts w:ascii="Calibri" w:hAnsi="Calibri" w:cstheme="minorBidi"/>
          <w:b w:val="0"/>
          <w:kern w:val="2"/>
          <w:sz w:val="21"/>
          <w:lang w:val="en-US" w:eastAsia="zh-CN"/>
        </w:rPr>
        <w:t>R4-2008883, Email discussion summary for [95e][308] NR_IAB_RF_Part_1</w:t>
      </w:r>
    </w:p>
    <w:p w:rsidR="002513AE" w:rsidRDefault="00864AE2" w:rsidP="00A05256">
      <w:pPr>
        <w:pStyle w:val="ZT"/>
        <w:framePr w:wrap="auto" w:hAnchor="text" w:yAlign="inline"/>
        <w:ind w:right="420"/>
        <w:jc w:val="both"/>
        <w:rPr>
          <w:rFonts w:ascii="Calibri" w:hAnsi="Calibri" w:cstheme="minorBidi"/>
          <w:b w:val="0"/>
          <w:kern w:val="2"/>
          <w:sz w:val="21"/>
          <w:lang w:val="en-US" w:eastAsia="zh-CN"/>
        </w:rPr>
      </w:pPr>
      <w:r>
        <w:rPr>
          <w:rFonts w:asciiTheme="minorHAnsi" w:hAnsiTheme="minorHAnsi" w:cstheme="minorBidi"/>
          <w:b w:val="0"/>
          <w:kern w:val="2"/>
          <w:sz w:val="21"/>
          <w:szCs w:val="22"/>
          <w:lang w:val="en-US" w:eastAsia="zh-CN"/>
        </w:rPr>
        <w:t>[3]</w:t>
      </w:r>
      <w:r w:rsidR="00A91654">
        <w:rPr>
          <w:rFonts w:asciiTheme="minorHAnsi" w:hAnsiTheme="minorHAnsi" w:cstheme="minorBidi"/>
          <w:b w:val="0"/>
          <w:kern w:val="2"/>
          <w:sz w:val="21"/>
          <w:szCs w:val="22"/>
          <w:lang w:val="en-US" w:eastAsia="zh-CN"/>
        </w:rPr>
        <w:t xml:space="preserve"> R4-20</w:t>
      </w:r>
      <w:r w:rsidR="00A91654" w:rsidRPr="00A91654">
        <w:rPr>
          <w:rFonts w:ascii="Calibri" w:hAnsi="Calibri" w:cstheme="minorBidi"/>
          <w:b w:val="0"/>
          <w:kern w:val="2"/>
          <w:sz w:val="21"/>
          <w:lang w:val="en-US" w:eastAsia="zh-CN"/>
        </w:rPr>
        <w:t>08773,</w:t>
      </w:r>
      <w:r w:rsidRPr="00A91654">
        <w:rPr>
          <w:rFonts w:ascii="Calibri" w:hAnsi="Calibri" w:cstheme="minorBidi"/>
          <w:b w:val="0"/>
          <w:kern w:val="2"/>
          <w:sz w:val="21"/>
          <w:lang w:val="en-US" w:eastAsia="zh-CN"/>
        </w:rPr>
        <w:t xml:space="preserve"> </w:t>
      </w:r>
      <w:r w:rsidR="00A91654" w:rsidRPr="00A91654">
        <w:rPr>
          <w:rFonts w:ascii="Calibri" w:hAnsi="Calibri" w:cstheme="minorBidi"/>
          <w:b w:val="0"/>
          <w:kern w:val="2"/>
          <w:sz w:val="21"/>
          <w:lang w:val="en-US" w:eastAsia="zh-CN"/>
        </w:rPr>
        <w:t>WF on IAB-MT maximum output power and scaling factor for emission</w:t>
      </w:r>
    </w:p>
    <w:p w:rsidR="00546198" w:rsidRPr="00A54104" w:rsidRDefault="004C5598" w:rsidP="00A54104">
      <w:pPr>
        <w:pStyle w:val="ZT"/>
        <w:framePr w:wrap="auto" w:hAnchor="text" w:yAlign="inline"/>
        <w:ind w:right="420"/>
        <w:jc w:val="both"/>
        <w:rPr>
          <w:rFonts w:ascii="Calibri" w:hAnsi="Calibri" w:cstheme="minorBidi"/>
          <w:b w:val="0"/>
          <w:kern w:val="2"/>
          <w:sz w:val="21"/>
          <w:lang w:val="en-US" w:eastAsia="zh-CN"/>
        </w:rPr>
      </w:pPr>
      <w:r>
        <w:rPr>
          <w:rFonts w:ascii="Calibri" w:hAnsi="Calibri" w:cstheme="minorBidi"/>
          <w:b w:val="0"/>
          <w:kern w:val="2"/>
          <w:sz w:val="21"/>
          <w:lang w:val="en-US" w:eastAsia="zh-CN"/>
        </w:rPr>
        <w:t>[4]</w:t>
      </w:r>
      <w:r w:rsidRPr="004C5598">
        <w:rPr>
          <w:rFonts w:ascii="Calibri" w:hAnsi="Calibri" w:cstheme="minorBidi"/>
          <w:b w:val="0"/>
          <w:kern w:val="2"/>
          <w:sz w:val="21"/>
          <w:lang w:val="en-US" w:eastAsia="zh-CN"/>
        </w:rPr>
        <w:t xml:space="preserve"> R4-2008775</w:t>
      </w:r>
      <w:r>
        <w:rPr>
          <w:rFonts w:ascii="Calibri" w:hAnsi="Calibri" w:cstheme="minorBidi"/>
          <w:b w:val="0"/>
          <w:kern w:val="2"/>
          <w:sz w:val="21"/>
          <w:lang w:val="en-US" w:eastAsia="zh-CN"/>
        </w:rPr>
        <w:t xml:space="preserve">, </w:t>
      </w:r>
      <w:r w:rsidRPr="004C5598">
        <w:rPr>
          <w:rFonts w:ascii="Calibri" w:hAnsi="Calibri" w:cstheme="minorBidi"/>
          <w:b w:val="0"/>
          <w:kern w:val="2"/>
          <w:sz w:val="21"/>
          <w:lang w:val="en-US" w:eastAsia="zh-CN"/>
        </w:rPr>
        <w:t>WF on IAB-MT output power dynamic</w:t>
      </w:r>
    </w:p>
    <w:sectPr w:rsidR="00546198" w:rsidRPr="00A54104" w:rsidSect="005018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D85" w:rsidRDefault="00496D85" w:rsidP="00FF76F4">
      <w:r>
        <w:separator/>
      </w:r>
    </w:p>
  </w:endnote>
  <w:endnote w:type="continuationSeparator" w:id="0">
    <w:p w:rsidR="00496D85" w:rsidRDefault="00496D85"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D85" w:rsidRDefault="00496D85" w:rsidP="00FF76F4">
      <w:r>
        <w:separator/>
      </w:r>
    </w:p>
  </w:footnote>
  <w:footnote w:type="continuationSeparator" w:id="0">
    <w:p w:rsidR="00496D85" w:rsidRDefault="00496D85"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A50"/>
    <w:multiLevelType w:val="hybridMultilevel"/>
    <w:tmpl w:val="85163EDC"/>
    <w:lvl w:ilvl="0" w:tplc="03788C7A">
      <w:start w:val="1"/>
      <w:numFmt w:val="bullet"/>
      <w:lvlText w:val="•"/>
      <w:lvlJc w:val="left"/>
      <w:pPr>
        <w:tabs>
          <w:tab w:val="num" w:pos="720"/>
        </w:tabs>
        <w:ind w:left="720" w:hanging="360"/>
      </w:pPr>
      <w:rPr>
        <w:rFonts w:ascii="Arial" w:hAnsi="Arial" w:hint="default"/>
      </w:rPr>
    </w:lvl>
    <w:lvl w:ilvl="1" w:tplc="BF6C437E">
      <w:start w:val="189"/>
      <w:numFmt w:val="bullet"/>
      <w:lvlText w:val="•"/>
      <w:lvlJc w:val="left"/>
      <w:pPr>
        <w:tabs>
          <w:tab w:val="num" w:pos="1440"/>
        </w:tabs>
        <w:ind w:left="1440" w:hanging="360"/>
      </w:pPr>
      <w:rPr>
        <w:rFonts w:ascii="Arial" w:hAnsi="Arial" w:hint="default"/>
      </w:rPr>
    </w:lvl>
    <w:lvl w:ilvl="2" w:tplc="B3229798">
      <w:start w:val="189"/>
      <w:numFmt w:val="bullet"/>
      <w:lvlText w:val="•"/>
      <w:lvlJc w:val="left"/>
      <w:pPr>
        <w:tabs>
          <w:tab w:val="num" w:pos="2160"/>
        </w:tabs>
        <w:ind w:left="2160" w:hanging="360"/>
      </w:pPr>
      <w:rPr>
        <w:rFonts w:ascii="Arial" w:hAnsi="Arial" w:hint="default"/>
      </w:rPr>
    </w:lvl>
    <w:lvl w:ilvl="3" w:tplc="06A66492" w:tentative="1">
      <w:start w:val="1"/>
      <w:numFmt w:val="bullet"/>
      <w:lvlText w:val="•"/>
      <w:lvlJc w:val="left"/>
      <w:pPr>
        <w:tabs>
          <w:tab w:val="num" w:pos="2880"/>
        </w:tabs>
        <w:ind w:left="2880" w:hanging="360"/>
      </w:pPr>
      <w:rPr>
        <w:rFonts w:ascii="Arial" w:hAnsi="Arial" w:hint="default"/>
      </w:rPr>
    </w:lvl>
    <w:lvl w:ilvl="4" w:tplc="B6DC8E22" w:tentative="1">
      <w:start w:val="1"/>
      <w:numFmt w:val="bullet"/>
      <w:lvlText w:val="•"/>
      <w:lvlJc w:val="left"/>
      <w:pPr>
        <w:tabs>
          <w:tab w:val="num" w:pos="3600"/>
        </w:tabs>
        <w:ind w:left="3600" w:hanging="360"/>
      </w:pPr>
      <w:rPr>
        <w:rFonts w:ascii="Arial" w:hAnsi="Arial" w:hint="default"/>
      </w:rPr>
    </w:lvl>
    <w:lvl w:ilvl="5" w:tplc="271CDF4A" w:tentative="1">
      <w:start w:val="1"/>
      <w:numFmt w:val="bullet"/>
      <w:lvlText w:val="•"/>
      <w:lvlJc w:val="left"/>
      <w:pPr>
        <w:tabs>
          <w:tab w:val="num" w:pos="4320"/>
        </w:tabs>
        <w:ind w:left="4320" w:hanging="360"/>
      </w:pPr>
      <w:rPr>
        <w:rFonts w:ascii="Arial" w:hAnsi="Arial" w:hint="default"/>
      </w:rPr>
    </w:lvl>
    <w:lvl w:ilvl="6" w:tplc="C9A2CA34" w:tentative="1">
      <w:start w:val="1"/>
      <w:numFmt w:val="bullet"/>
      <w:lvlText w:val="•"/>
      <w:lvlJc w:val="left"/>
      <w:pPr>
        <w:tabs>
          <w:tab w:val="num" w:pos="5040"/>
        </w:tabs>
        <w:ind w:left="5040" w:hanging="360"/>
      </w:pPr>
      <w:rPr>
        <w:rFonts w:ascii="Arial" w:hAnsi="Arial" w:hint="default"/>
      </w:rPr>
    </w:lvl>
    <w:lvl w:ilvl="7" w:tplc="BA723508" w:tentative="1">
      <w:start w:val="1"/>
      <w:numFmt w:val="bullet"/>
      <w:lvlText w:val="•"/>
      <w:lvlJc w:val="left"/>
      <w:pPr>
        <w:tabs>
          <w:tab w:val="num" w:pos="5760"/>
        </w:tabs>
        <w:ind w:left="5760" w:hanging="360"/>
      </w:pPr>
      <w:rPr>
        <w:rFonts w:ascii="Arial" w:hAnsi="Arial" w:hint="default"/>
      </w:rPr>
    </w:lvl>
    <w:lvl w:ilvl="8" w:tplc="F4FE63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875D6C"/>
    <w:multiLevelType w:val="hybridMultilevel"/>
    <w:tmpl w:val="6614A0B8"/>
    <w:lvl w:ilvl="0" w:tplc="6122BAB6">
      <w:start w:val="1"/>
      <w:numFmt w:val="bullet"/>
      <w:lvlText w:val="•"/>
      <w:lvlJc w:val="left"/>
      <w:pPr>
        <w:tabs>
          <w:tab w:val="num" w:pos="720"/>
        </w:tabs>
        <w:ind w:left="720" w:hanging="360"/>
      </w:pPr>
      <w:rPr>
        <w:rFonts w:ascii="Arial" w:hAnsi="Arial" w:hint="default"/>
      </w:rPr>
    </w:lvl>
    <w:lvl w:ilvl="1" w:tplc="8806BA24">
      <w:start w:val="189"/>
      <w:numFmt w:val="bullet"/>
      <w:lvlText w:val="•"/>
      <w:lvlJc w:val="left"/>
      <w:pPr>
        <w:tabs>
          <w:tab w:val="num" w:pos="1440"/>
        </w:tabs>
        <w:ind w:left="1440" w:hanging="360"/>
      </w:pPr>
      <w:rPr>
        <w:rFonts w:ascii="Arial" w:hAnsi="Arial" w:hint="default"/>
      </w:rPr>
    </w:lvl>
    <w:lvl w:ilvl="2" w:tplc="72DAA430" w:tentative="1">
      <w:start w:val="1"/>
      <w:numFmt w:val="bullet"/>
      <w:lvlText w:val="•"/>
      <w:lvlJc w:val="left"/>
      <w:pPr>
        <w:tabs>
          <w:tab w:val="num" w:pos="2160"/>
        </w:tabs>
        <w:ind w:left="2160" w:hanging="360"/>
      </w:pPr>
      <w:rPr>
        <w:rFonts w:ascii="Arial" w:hAnsi="Arial" w:hint="default"/>
      </w:rPr>
    </w:lvl>
    <w:lvl w:ilvl="3" w:tplc="69C6379E" w:tentative="1">
      <w:start w:val="1"/>
      <w:numFmt w:val="bullet"/>
      <w:lvlText w:val="•"/>
      <w:lvlJc w:val="left"/>
      <w:pPr>
        <w:tabs>
          <w:tab w:val="num" w:pos="2880"/>
        </w:tabs>
        <w:ind w:left="2880" w:hanging="360"/>
      </w:pPr>
      <w:rPr>
        <w:rFonts w:ascii="Arial" w:hAnsi="Arial" w:hint="default"/>
      </w:rPr>
    </w:lvl>
    <w:lvl w:ilvl="4" w:tplc="1630B3CE" w:tentative="1">
      <w:start w:val="1"/>
      <w:numFmt w:val="bullet"/>
      <w:lvlText w:val="•"/>
      <w:lvlJc w:val="left"/>
      <w:pPr>
        <w:tabs>
          <w:tab w:val="num" w:pos="3600"/>
        </w:tabs>
        <w:ind w:left="3600" w:hanging="360"/>
      </w:pPr>
      <w:rPr>
        <w:rFonts w:ascii="Arial" w:hAnsi="Arial" w:hint="default"/>
      </w:rPr>
    </w:lvl>
    <w:lvl w:ilvl="5" w:tplc="52389DA4" w:tentative="1">
      <w:start w:val="1"/>
      <w:numFmt w:val="bullet"/>
      <w:lvlText w:val="•"/>
      <w:lvlJc w:val="left"/>
      <w:pPr>
        <w:tabs>
          <w:tab w:val="num" w:pos="4320"/>
        </w:tabs>
        <w:ind w:left="4320" w:hanging="360"/>
      </w:pPr>
      <w:rPr>
        <w:rFonts w:ascii="Arial" w:hAnsi="Arial" w:hint="default"/>
      </w:rPr>
    </w:lvl>
    <w:lvl w:ilvl="6" w:tplc="4E3E1F3C" w:tentative="1">
      <w:start w:val="1"/>
      <w:numFmt w:val="bullet"/>
      <w:lvlText w:val="•"/>
      <w:lvlJc w:val="left"/>
      <w:pPr>
        <w:tabs>
          <w:tab w:val="num" w:pos="5040"/>
        </w:tabs>
        <w:ind w:left="5040" w:hanging="360"/>
      </w:pPr>
      <w:rPr>
        <w:rFonts w:ascii="Arial" w:hAnsi="Arial" w:hint="default"/>
      </w:rPr>
    </w:lvl>
    <w:lvl w:ilvl="7" w:tplc="BAFAB646" w:tentative="1">
      <w:start w:val="1"/>
      <w:numFmt w:val="bullet"/>
      <w:lvlText w:val="•"/>
      <w:lvlJc w:val="left"/>
      <w:pPr>
        <w:tabs>
          <w:tab w:val="num" w:pos="5760"/>
        </w:tabs>
        <w:ind w:left="5760" w:hanging="360"/>
      </w:pPr>
      <w:rPr>
        <w:rFonts w:ascii="Arial" w:hAnsi="Arial" w:hint="default"/>
      </w:rPr>
    </w:lvl>
    <w:lvl w:ilvl="8" w:tplc="4CA487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D2C48"/>
    <w:multiLevelType w:val="hybridMultilevel"/>
    <w:tmpl w:val="16D2D21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102B6EBD"/>
    <w:multiLevelType w:val="hybridMultilevel"/>
    <w:tmpl w:val="D84698CC"/>
    <w:lvl w:ilvl="0" w:tplc="A2EE1B5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5D7350"/>
    <w:multiLevelType w:val="hybridMultilevel"/>
    <w:tmpl w:val="41FCF5C8"/>
    <w:lvl w:ilvl="0" w:tplc="B13261A0">
      <w:start w:val="1"/>
      <w:numFmt w:val="bullet"/>
      <w:lvlText w:val="•"/>
      <w:lvlJc w:val="left"/>
      <w:pPr>
        <w:tabs>
          <w:tab w:val="num" w:pos="720"/>
        </w:tabs>
        <w:ind w:left="720" w:hanging="360"/>
      </w:pPr>
      <w:rPr>
        <w:rFonts w:ascii="Arial" w:hAnsi="Arial" w:hint="default"/>
      </w:rPr>
    </w:lvl>
    <w:lvl w:ilvl="1" w:tplc="A9164DE4">
      <w:start w:val="189"/>
      <w:numFmt w:val="bullet"/>
      <w:lvlText w:val="•"/>
      <w:lvlJc w:val="left"/>
      <w:pPr>
        <w:tabs>
          <w:tab w:val="num" w:pos="1440"/>
        </w:tabs>
        <w:ind w:left="1440" w:hanging="360"/>
      </w:pPr>
      <w:rPr>
        <w:rFonts w:ascii="Arial" w:hAnsi="Arial" w:hint="default"/>
      </w:rPr>
    </w:lvl>
    <w:lvl w:ilvl="2" w:tplc="9B14BDF8">
      <w:start w:val="189"/>
      <w:numFmt w:val="bullet"/>
      <w:lvlText w:val="•"/>
      <w:lvlJc w:val="left"/>
      <w:pPr>
        <w:tabs>
          <w:tab w:val="num" w:pos="2160"/>
        </w:tabs>
        <w:ind w:left="2160" w:hanging="360"/>
      </w:pPr>
      <w:rPr>
        <w:rFonts w:ascii="Arial" w:hAnsi="Arial" w:hint="default"/>
      </w:rPr>
    </w:lvl>
    <w:lvl w:ilvl="3" w:tplc="5EE4CDA0" w:tentative="1">
      <w:start w:val="1"/>
      <w:numFmt w:val="bullet"/>
      <w:lvlText w:val="•"/>
      <w:lvlJc w:val="left"/>
      <w:pPr>
        <w:tabs>
          <w:tab w:val="num" w:pos="2880"/>
        </w:tabs>
        <w:ind w:left="2880" w:hanging="360"/>
      </w:pPr>
      <w:rPr>
        <w:rFonts w:ascii="Arial" w:hAnsi="Arial" w:hint="default"/>
      </w:rPr>
    </w:lvl>
    <w:lvl w:ilvl="4" w:tplc="05A86DD2" w:tentative="1">
      <w:start w:val="1"/>
      <w:numFmt w:val="bullet"/>
      <w:lvlText w:val="•"/>
      <w:lvlJc w:val="left"/>
      <w:pPr>
        <w:tabs>
          <w:tab w:val="num" w:pos="3600"/>
        </w:tabs>
        <w:ind w:left="3600" w:hanging="360"/>
      </w:pPr>
      <w:rPr>
        <w:rFonts w:ascii="Arial" w:hAnsi="Arial" w:hint="default"/>
      </w:rPr>
    </w:lvl>
    <w:lvl w:ilvl="5" w:tplc="691CBBAC" w:tentative="1">
      <w:start w:val="1"/>
      <w:numFmt w:val="bullet"/>
      <w:lvlText w:val="•"/>
      <w:lvlJc w:val="left"/>
      <w:pPr>
        <w:tabs>
          <w:tab w:val="num" w:pos="4320"/>
        </w:tabs>
        <w:ind w:left="4320" w:hanging="360"/>
      </w:pPr>
      <w:rPr>
        <w:rFonts w:ascii="Arial" w:hAnsi="Arial" w:hint="default"/>
      </w:rPr>
    </w:lvl>
    <w:lvl w:ilvl="6" w:tplc="56149284" w:tentative="1">
      <w:start w:val="1"/>
      <w:numFmt w:val="bullet"/>
      <w:lvlText w:val="•"/>
      <w:lvlJc w:val="left"/>
      <w:pPr>
        <w:tabs>
          <w:tab w:val="num" w:pos="5040"/>
        </w:tabs>
        <w:ind w:left="5040" w:hanging="360"/>
      </w:pPr>
      <w:rPr>
        <w:rFonts w:ascii="Arial" w:hAnsi="Arial" w:hint="default"/>
      </w:rPr>
    </w:lvl>
    <w:lvl w:ilvl="7" w:tplc="4ACAB906" w:tentative="1">
      <w:start w:val="1"/>
      <w:numFmt w:val="bullet"/>
      <w:lvlText w:val="•"/>
      <w:lvlJc w:val="left"/>
      <w:pPr>
        <w:tabs>
          <w:tab w:val="num" w:pos="5760"/>
        </w:tabs>
        <w:ind w:left="5760" w:hanging="360"/>
      </w:pPr>
      <w:rPr>
        <w:rFonts w:ascii="Arial" w:hAnsi="Arial" w:hint="default"/>
      </w:rPr>
    </w:lvl>
    <w:lvl w:ilvl="8" w:tplc="929CEF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8F4D2B"/>
    <w:multiLevelType w:val="hybridMultilevel"/>
    <w:tmpl w:val="D3C23DCE"/>
    <w:lvl w:ilvl="0" w:tplc="C6DA1A48">
      <w:numFmt w:val="bullet"/>
      <w:lvlText w:val="-"/>
      <w:lvlJc w:val="left"/>
      <w:pPr>
        <w:ind w:left="420" w:hanging="420"/>
      </w:pPr>
      <w:rPr>
        <w:rFonts w:ascii="Arial" w:eastAsia="MS Mincho" w:hAnsi="Arial" w:cs="Arial" w:hint="default"/>
      </w:rPr>
    </w:lvl>
    <w:lvl w:ilvl="1" w:tplc="7DAA781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DFAC5BD0">
      <w:start w:val="18"/>
      <w:numFmt w:val="bullet"/>
      <w:lvlText w:val="-"/>
      <w:lvlJc w:val="left"/>
      <w:pPr>
        <w:ind w:left="1680" w:hanging="420"/>
      </w:pPr>
      <w:rPr>
        <w:rFonts w:ascii="Calibri" w:eastAsiaTheme="minorEastAsia" w:hAnsi="Calibri" w:cs="Calibri" w:hint="default"/>
      </w:rPr>
    </w:lvl>
    <w:lvl w:ilvl="4" w:tplc="7DAA7812">
      <w:start w:val="1"/>
      <w:numFmt w:val="bullet"/>
      <w:lvlText w:val="•"/>
      <w:lvlJc w:val="left"/>
      <w:pPr>
        <w:ind w:left="2100" w:hanging="420"/>
      </w:pPr>
      <w:rPr>
        <w:rFonts w:ascii="Arial" w:hAnsi="Arial" w:hint="default"/>
      </w:rPr>
    </w:lvl>
    <w:lvl w:ilvl="5" w:tplc="04090005">
      <w:start w:val="1"/>
      <w:numFmt w:val="bullet"/>
      <w:lvlText w:val=""/>
      <w:lvlJc w:val="left"/>
      <w:pPr>
        <w:ind w:left="2520" w:hanging="420"/>
      </w:pPr>
      <w:rPr>
        <w:rFonts w:ascii="Wingdings" w:hAnsi="Wingdings" w:hint="default"/>
      </w:rPr>
    </w:lvl>
    <w:lvl w:ilvl="6" w:tplc="5E704A6C">
      <w:start w:val="25"/>
      <w:numFmt w:val="bullet"/>
      <w:lvlText w:val=""/>
      <w:lvlJc w:val="left"/>
      <w:pPr>
        <w:ind w:left="2880" w:hanging="360"/>
      </w:pPr>
      <w:rPr>
        <w:rFonts w:ascii="Wingdings" w:eastAsia="MS Mincho" w:hAnsi="Wingdings" w:cs="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05BB9"/>
    <w:multiLevelType w:val="hybridMultilevel"/>
    <w:tmpl w:val="2438B9E4"/>
    <w:lvl w:ilvl="0" w:tplc="680E50CA">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AD41223"/>
    <w:multiLevelType w:val="hybridMultilevel"/>
    <w:tmpl w:val="048A765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2"/>
  </w:num>
  <w:num w:numId="4">
    <w:abstractNumId w:val="18"/>
  </w:num>
  <w:num w:numId="5">
    <w:abstractNumId w:val="9"/>
  </w:num>
  <w:num w:numId="6">
    <w:abstractNumId w:val="7"/>
  </w:num>
  <w:num w:numId="7">
    <w:abstractNumId w:val="16"/>
  </w:num>
  <w:num w:numId="8">
    <w:abstractNumId w:val="4"/>
  </w:num>
  <w:num w:numId="9">
    <w:abstractNumId w:val="14"/>
  </w:num>
  <w:num w:numId="10">
    <w:abstractNumId w:val="17"/>
  </w:num>
  <w:num w:numId="11">
    <w:abstractNumId w:val="11"/>
  </w:num>
  <w:num w:numId="12">
    <w:abstractNumId w:val="2"/>
  </w:num>
  <w:num w:numId="13">
    <w:abstractNumId w:val="13"/>
  </w:num>
  <w:num w:numId="14">
    <w:abstractNumId w:val="10"/>
  </w:num>
  <w:num w:numId="15">
    <w:abstractNumId w:val="1"/>
  </w:num>
  <w:num w:numId="16">
    <w:abstractNumId w:val="0"/>
  </w:num>
  <w:num w:numId="17">
    <w:abstractNumId w:val="8"/>
  </w:num>
  <w:num w:numId="18">
    <w:abstractNumId w:val="3"/>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478F"/>
    <w:rsid w:val="00005954"/>
    <w:rsid w:val="00005F97"/>
    <w:rsid w:val="00011182"/>
    <w:rsid w:val="00012EFA"/>
    <w:rsid w:val="00014035"/>
    <w:rsid w:val="00015077"/>
    <w:rsid w:val="00017DE0"/>
    <w:rsid w:val="000213A5"/>
    <w:rsid w:val="000224CD"/>
    <w:rsid w:val="00022887"/>
    <w:rsid w:val="00027197"/>
    <w:rsid w:val="000303EB"/>
    <w:rsid w:val="000316D6"/>
    <w:rsid w:val="000316D9"/>
    <w:rsid w:val="00031A3E"/>
    <w:rsid w:val="000325F8"/>
    <w:rsid w:val="00036077"/>
    <w:rsid w:val="0004006A"/>
    <w:rsid w:val="00042B91"/>
    <w:rsid w:val="00044194"/>
    <w:rsid w:val="00044287"/>
    <w:rsid w:val="00044671"/>
    <w:rsid w:val="000447E0"/>
    <w:rsid w:val="00045F80"/>
    <w:rsid w:val="000542D7"/>
    <w:rsid w:val="0005598F"/>
    <w:rsid w:val="0005628E"/>
    <w:rsid w:val="000608D0"/>
    <w:rsid w:val="000637ED"/>
    <w:rsid w:val="0006396D"/>
    <w:rsid w:val="000645A0"/>
    <w:rsid w:val="0006647E"/>
    <w:rsid w:val="00066835"/>
    <w:rsid w:val="000708E3"/>
    <w:rsid w:val="00070B32"/>
    <w:rsid w:val="000718E9"/>
    <w:rsid w:val="000729C9"/>
    <w:rsid w:val="00073211"/>
    <w:rsid w:val="00080615"/>
    <w:rsid w:val="00081033"/>
    <w:rsid w:val="0008319D"/>
    <w:rsid w:val="00086E14"/>
    <w:rsid w:val="0009033A"/>
    <w:rsid w:val="0009104B"/>
    <w:rsid w:val="00091E4C"/>
    <w:rsid w:val="00095E1A"/>
    <w:rsid w:val="000A0961"/>
    <w:rsid w:val="000A13E0"/>
    <w:rsid w:val="000A6628"/>
    <w:rsid w:val="000A68C9"/>
    <w:rsid w:val="000A6D1A"/>
    <w:rsid w:val="000A6F09"/>
    <w:rsid w:val="000B1FF8"/>
    <w:rsid w:val="000B2BC0"/>
    <w:rsid w:val="000B693C"/>
    <w:rsid w:val="000C243C"/>
    <w:rsid w:val="000C3F1F"/>
    <w:rsid w:val="000C4C74"/>
    <w:rsid w:val="000C5302"/>
    <w:rsid w:val="000C54C6"/>
    <w:rsid w:val="000C59C1"/>
    <w:rsid w:val="000C5CD6"/>
    <w:rsid w:val="000D3C64"/>
    <w:rsid w:val="000D4C59"/>
    <w:rsid w:val="000E137F"/>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02FD"/>
    <w:rsid w:val="00121276"/>
    <w:rsid w:val="00125394"/>
    <w:rsid w:val="001301DB"/>
    <w:rsid w:val="00131637"/>
    <w:rsid w:val="00131991"/>
    <w:rsid w:val="0013335E"/>
    <w:rsid w:val="0013422D"/>
    <w:rsid w:val="00135DC0"/>
    <w:rsid w:val="00135E7C"/>
    <w:rsid w:val="0013726E"/>
    <w:rsid w:val="001438AA"/>
    <w:rsid w:val="00143D1D"/>
    <w:rsid w:val="001455C3"/>
    <w:rsid w:val="0014667B"/>
    <w:rsid w:val="00162691"/>
    <w:rsid w:val="0016328B"/>
    <w:rsid w:val="0017034F"/>
    <w:rsid w:val="00170B06"/>
    <w:rsid w:val="00172664"/>
    <w:rsid w:val="00173E9D"/>
    <w:rsid w:val="001754C2"/>
    <w:rsid w:val="0017557C"/>
    <w:rsid w:val="00175ACA"/>
    <w:rsid w:val="00175ED9"/>
    <w:rsid w:val="00177BDE"/>
    <w:rsid w:val="00182E67"/>
    <w:rsid w:val="001832D5"/>
    <w:rsid w:val="001836A1"/>
    <w:rsid w:val="00184E7E"/>
    <w:rsid w:val="001871AA"/>
    <w:rsid w:val="001876C0"/>
    <w:rsid w:val="00190331"/>
    <w:rsid w:val="00195C0C"/>
    <w:rsid w:val="00197EF8"/>
    <w:rsid w:val="001A24EE"/>
    <w:rsid w:val="001A5265"/>
    <w:rsid w:val="001A7B9C"/>
    <w:rsid w:val="001B3133"/>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6666"/>
    <w:rsid w:val="00207D97"/>
    <w:rsid w:val="00210B3E"/>
    <w:rsid w:val="00212625"/>
    <w:rsid w:val="00212808"/>
    <w:rsid w:val="00213744"/>
    <w:rsid w:val="00215310"/>
    <w:rsid w:val="00220EC2"/>
    <w:rsid w:val="00223B39"/>
    <w:rsid w:val="002277E9"/>
    <w:rsid w:val="002301BF"/>
    <w:rsid w:val="00230B99"/>
    <w:rsid w:val="00231DD6"/>
    <w:rsid w:val="0023725B"/>
    <w:rsid w:val="0024181C"/>
    <w:rsid w:val="002418EC"/>
    <w:rsid w:val="00246EBC"/>
    <w:rsid w:val="00247675"/>
    <w:rsid w:val="002513AE"/>
    <w:rsid w:val="00252606"/>
    <w:rsid w:val="00257B53"/>
    <w:rsid w:val="00257FB9"/>
    <w:rsid w:val="00260E9E"/>
    <w:rsid w:val="002611BB"/>
    <w:rsid w:val="00261C0C"/>
    <w:rsid w:val="00262C6C"/>
    <w:rsid w:val="0026497D"/>
    <w:rsid w:val="00264CF1"/>
    <w:rsid w:val="0026676E"/>
    <w:rsid w:val="00266E04"/>
    <w:rsid w:val="002671F3"/>
    <w:rsid w:val="00267AAF"/>
    <w:rsid w:val="00271B14"/>
    <w:rsid w:val="0027316B"/>
    <w:rsid w:val="002741FD"/>
    <w:rsid w:val="00277496"/>
    <w:rsid w:val="00281E20"/>
    <w:rsid w:val="00285A74"/>
    <w:rsid w:val="00286C6A"/>
    <w:rsid w:val="00294C44"/>
    <w:rsid w:val="00295175"/>
    <w:rsid w:val="00295E25"/>
    <w:rsid w:val="002971D6"/>
    <w:rsid w:val="00297965"/>
    <w:rsid w:val="002A0C18"/>
    <w:rsid w:val="002A249C"/>
    <w:rsid w:val="002A5A60"/>
    <w:rsid w:val="002A727E"/>
    <w:rsid w:val="002B0953"/>
    <w:rsid w:val="002B1265"/>
    <w:rsid w:val="002B4C48"/>
    <w:rsid w:val="002C22C2"/>
    <w:rsid w:val="002C2435"/>
    <w:rsid w:val="002C333F"/>
    <w:rsid w:val="002C7731"/>
    <w:rsid w:val="002C7C95"/>
    <w:rsid w:val="002D33BF"/>
    <w:rsid w:val="002D3A6C"/>
    <w:rsid w:val="002D6806"/>
    <w:rsid w:val="002D77F6"/>
    <w:rsid w:val="002E0E33"/>
    <w:rsid w:val="002E2712"/>
    <w:rsid w:val="002E2FCA"/>
    <w:rsid w:val="002E4E27"/>
    <w:rsid w:val="002E7536"/>
    <w:rsid w:val="002F0731"/>
    <w:rsid w:val="002F1435"/>
    <w:rsid w:val="002F4833"/>
    <w:rsid w:val="003029C2"/>
    <w:rsid w:val="00303031"/>
    <w:rsid w:val="00307F2F"/>
    <w:rsid w:val="00312862"/>
    <w:rsid w:val="00313FF8"/>
    <w:rsid w:val="0031560F"/>
    <w:rsid w:val="00320A38"/>
    <w:rsid w:val="003217EF"/>
    <w:rsid w:val="003218D7"/>
    <w:rsid w:val="00322B3B"/>
    <w:rsid w:val="003252C5"/>
    <w:rsid w:val="0032668A"/>
    <w:rsid w:val="00330269"/>
    <w:rsid w:val="00330CE3"/>
    <w:rsid w:val="00330D88"/>
    <w:rsid w:val="00330F3A"/>
    <w:rsid w:val="00333E6B"/>
    <w:rsid w:val="00334231"/>
    <w:rsid w:val="00336F41"/>
    <w:rsid w:val="00341535"/>
    <w:rsid w:val="0034562D"/>
    <w:rsid w:val="003456AF"/>
    <w:rsid w:val="00345FB8"/>
    <w:rsid w:val="003471B3"/>
    <w:rsid w:val="00347990"/>
    <w:rsid w:val="00350240"/>
    <w:rsid w:val="00352B38"/>
    <w:rsid w:val="00354C44"/>
    <w:rsid w:val="0035779A"/>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8370A"/>
    <w:rsid w:val="003933B7"/>
    <w:rsid w:val="00394462"/>
    <w:rsid w:val="00396A44"/>
    <w:rsid w:val="003A0365"/>
    <w:rsid w:val="003A0F8B"/>
    <w:rsid w:val="003A3D0E"/>
    <w:rsid w:val="003A4B6D"/>
    <w:rsid w:val="003A4EAB"/>
    <w:rsid w:val="003A4FBD"/>
    <w:rsid w:val="003A5061"/>
    <w:rsid w:val="003B3155"/>
    <w:rsid w:val="003B7398"/>
    <w:rsid w:val="003B7523"/>
    <w:rsid w:val="003C1610"/>
    <w:rsid w:val="003C38C2"/>
    <w:rsid w:val="003C4BC7"/>
    <w:rsid w:val="003C4D41"/>
    <w:rsid w:val="003C5997"/>
    <w:rsid w:val="003C5F2E"/>
    <w:rsid w:val="003C7B0C"/>
    <w:rsid w:val="003C7C30"/>
    <w:rsid w:val="003D081D"/>
    <w:rsid w:val="003D3843"/>
    <w:rsid w:val="003D3E5E"/>
    <w:rsid w:val="003D4810"/>
    <w:rsid w:val="003D5CA7"/>
    <w:rsid w:val="003E1BCB"/>
    <w:rsid w:val="003E5107"/>
    <w:rsid w:val="003E53C0"/>
    <w:rsid w:val="003E76E4"/>
    <w:rsid w:val="003F1336"/>
    <w:rsid w:val="003F2522"/>
    <w:rsid w:val="003F3D0A"/>
    <w:rsid w:val="003F6833"/>
    <w:rsid w:val="00402FB6"/>
    <w:rsid w:val="004049D7"/>
    <w:rsid w:val="004154B5"/>
    <w:rsid w:val="00416A72"/>
    <w:rsid w:val="00417A6F"/>
    <w:rsid w:val="0042000F"/>
    <w:rsid w:val="00420BBA"/>
    <w:rsid w:val="0042257B"/>
    <w:rsid w:val="00422714"/>
    <w:rsid w:val="00423A51"/>
    <w:rsid w:val="0042479B"/>
    <w:rsid w:val="004262D6"/>
    <w:rsid w:val="00426684"/>
    <w:rsid w:val="00427457"/>
    <w:rsid w:val="0042771E"/>
    <w:rsid w:val="00434276"/>
    <w:rsid w:val="004353C7"/>
    <w:rsid w:val="00437223"/>
    <w:rsid w:val="0044026E"/>
    <w:rsid w:val="0044129E"/>
    <w:rsid w:val="004431D0"/>
    <w:rsid w:val="00443210"/>
    <w:rsid w:val="00445269"/>
    <w:rsid w:val="00447E1F"/>
    <w:rsid w:val="0045116C"/>
    <w:rsid w:val="00452999"/>
    <w:rsid w:val="00453F41"/>
    <w:rsid w:val="00456040"/>
    <w:rsid w:val="00456219"/>
    <w:rsid w:val="00457F78"/>
    <w:rsid w:val="00460F58"/>
    <w:rsid w:val="00461C52"/>
    <w:rsid w:val="00463740"/>
    <w:rsid w:val="00464581"/>
    <w:rsid w:val="00471EE8"/>
    <w:rsid w:val="0047586E"/>
    <w:rsid w:val="00475927"/>
    <w:rsid w:val="004779DD"/>
    <w:rsid w:val="00486410"/>
    <w:rsid w:val="004870CC"/>
    <w:rsid w:val="00490806"/>
    <w:rsid w:val="004914E1"/>
    <w:rsid w:val="0049591A"/>
    <w:rsid w:val="00495BB4"/>
    <w:rsid w:val="00496D85"/>
    <w:rsid w:val="00497B60"/>
    <w:rsid w:val="004A46A8"/>
    <w:rsid w:val="004A6CB8"/>
    <w:rsid w:val="004A7787"/>
    <w:rsid w:val="004B6A8E"/>
    <w:rsid w:val="004B7958"/>
    <w:rsid w:val="004C098D"/>
    <w:rsid w:val="004C0B85"/>
    <w:rsid w:val="004C3783"/>
    <w:rsid w:val="004C5598"/>
    <w:rsid w:val="004C5873"/>
    <w:rsid w:val="004D08D4"/>
    <w:rsid w:val="004D2036"/>
    <w:rsid w:val="004D468D"/>
    <w:rsid w:val="004D4B96"/>
    <w:rsid w:val="004D6754"/>
    <w:rsid w:val="004D775B"/>
    <w:rsid w:val="004D78B3"/>
    <w:rsid w:val="004E00B8"/>
    <w:rsid w:val="004E02D1"/>
    <w:rsid w:val="004E0EBD"/>
    <w:rsid w:val="004E16C1"/>
    <w:rsid w:val="004E463B"/>
    <w:rsid w:val="004E50F2"/>
    <w:rsid w:val="004E64C5"/>
    <w:rsid w:val="004F0168"/>
    <w:rsid w:val="004F3347"/>
    <w:rsid w:val="004F33BC"/>
    <w:rsid w:val="004F385E"/>
    <w:rsid w:val="004F49D2"/>
    <w:rsid w:val="004F5AB4"/>
    <w:rsid w:val="004F6232"/>
    <w:rsid w:val="004F7601"/>
    <w:rsid w:val="004F77CA"/>
    <w:rsid w:val="00500D19"/>
    <w:rsid w:val="00501873"/>
    <w:rsid w:val="00503850"/>
    <w:rsid w:val="00504849"/>
    <w:rsid w:val="00505ACA"/>
    <w:rsid w:val="00506DB2"/>
    <w:rsid w:val="0051178B"/>
    <w:rsid w:val="00511D7F"/>
    <w:rsid w:val="005142E8"/>
    <w:rsid w:val="005213B5"/>
    <w:rsid w:val="00523773"/>
    <w:rsid w:val="00523CF3"/>
    <w:rsid w:val="005246CB"/>
    <w:rsid w:val="00531509"/>
    <w:rsid w:val="00534665"/>
    <w:rsid w:val="005346DE"/>
    <w:rsid w:val="005359F4"/>
    <w:rsid w:val="00535B49"/>
    <w:rsid w:val="00536D9A"/>
    <w:rsid w:val="00536FFB"/>
    <w:rsid w:val="00537A2F"/>
    <w:rsid w:val="00546198"/>
    <w:rsid w:val="005461E2"/>
    <w:rsid w:val="005518A8"/>
    <w:rsid w:val="00552DB0"/>
    <w:rsid w:val="005542D3"/>
    <w:rsid w:val="00561EED"/>
    <w:rsid w:val="00571F43"/>
    <w:rsid w:val="005722AC"/>
    <w:rsid w:val="00577AA8"/>
    <w:rsid w:val="00577E33"/>
    <w:rsid w:val="00581D9D"/>
    <w:rsid w:val="00582F35"/>
    <w:rsid w:val="00584156"/>
    <w:rsid w:val="005855BE"/>
    <w:rsid w:val="00586132"/>
    <w:rsid w:val="00587CC4"/>
    <w:rsid w:val="00587FF3"/>
    <w:rsid w:val="00593FEF"/>
    <w:rsid w:val="00594B4A"/>
    <w:rsid w:val="005A09F3"/>
    <w:rsid w:val="005A1066"/>
    <w:rsid w:val="005A3410"/>
    <w:rsid w:val="005A465F"/>
    <w:rsid w:val="005A4BE2"/>
    <w:rsid w:val="005A770A"/>
    <w:rsid w:val="005B2965"/>
    <w:rsid w:val="005B49A1"/>
    <w:rsid w:val="005C1E99"/>
    <w:rsid w:val="005C4FC8"/>
    <w:rsid w:val="005C5399"/>
    <w:rsid w:val="005C632B"/>
    <w:rsid w:val="005D08C9"/>
    <w:rsid w:val="005D13E4"/>
    <w:rsid w:val="005D3BC1"/>
    <w:rsid w:val="005D4616"/>
    <w:rsid w:val="005E2128"/>
    <w:rsid w:val="005E2E31"/>
    <w:rsid w:val="005E3919"/>
    <w:rsid w:val="005E54A9"/>
    <w:rsid w:val="005E5C3A"/>
    <w:rsid w:val="005E6211"/>
    <w:rsid w:val="005E62CC"/>
    <w:rsid w:val="005E76A8"/>
    <w:rsid w:val="005F01DD"/>
    <w:rsid w:val="005F3D83"/>
    <w:rsid w:val="005F7D4E"/>
    <w:rsid w:val="00600417"/>
    <w:rsid w:val="00602538"/>
    <w:rsid w:val="00605FDE"/>
    <w:rsid w:val="006060F6"/>
    <w:rsid w:val="0061075C"/>
    <w:rsid w:val="006126A1"/>
    <w:rsid w:val="0061298D"/>
    <w:rsid w:val="00614E6E"/>
    <w:rsid w:val="0061765F"/>
    <w:rsid w:val="00617A8C"/>
    <w:rsid w:val="00620683"/>
    <w:rsid w:val="00622C02"/>
    <w:rsid w:val="006240DC"/>
    <w:rsid w:val="0062510F"/>
    <w:rsid w:val="00625531"/>
    <w:rsid w:val="00626E32"/>
    <w:rsid w:val="00627F5C"/>
    <w:rsid w:val="00633715"/>
    <w:rsid w:val="006340A9"/>
    <w:rsid w:val="00641DC3"/>
    <w:rsid w:val="00642D16"/>
    <w:rsid w:val="006454BA"/>
    <w:rsid w:val="00650803"/>
    <w:rsid w:val="006557EE"/>
    <w:rsid w:val="00655C68"/>
    <w:rsid w:val="00657398"/>
    <w:rsid w:val="00661789"/>
    <w:rsid w:val="00661A86"/>
    <w:rsid w:val="0066395E"/>
    <w:rsid w:val="0066484F"/>
    <w:rsid w:val="00666CF0"/>
    <w:rsid w:val="00672ACC"/>
    <w:rsid w:val="006743CD"/>
    <w:rsid w:val="0068011B"/>
    <w:rsid w:val="0068271C"/>
    <w:rsid w:val="00682E8C"/>
    <w:rsid w:val="00683FE1"/>
    <w:rsid w:val="00690C08"/>
    <w:rsid w:val="00691B0B"/>
    <w:rsid w:val="00693E39"/>
    <w:rsid w:val="00693EA4"/>
    <w:rsid w:val="00694C72"/>
    <w:rsid w:val="00696AA9"/>
    <w:rsid w:val="006A031A"/>
    <w:rsid w:val="006A2402"/>
    <w:rsid w:val="006A262E"/>
    <w:rsid w:val="006A3761"/>
    <w:rsid w:val="006A3DE7"/>
    <w:rsid w:val="006A4700"/>
    <w:rsid w:val="006A47F4"/>
    <w:rsid w:val="006A55C5"/>
    <w:rsid w:val="006A64AE"/>
    <w:rsid w:val="006B0979"/>
    <w:rsid w:val="006B1ECD"/>
    <w:rsid w:val="006B4112"/>
    <w:rsid w:val="006B4DDE"/>
    <w:rsid w:val="006C03E8"/>
    <w:rsid w:val="006C0DD2"/>
    <w:rsid w:val="006C2A6A"/>
    <w:rsid w:val="006C4F30"/>
    <w:rsid w:val="006C6724"/>
    <w:rsid w:val="006C6C7A"/>
    <w:rsid w:val="006C7868"/>
    <w:rsid w:val="006E6C2E"/>
    <w:rsid w:val="006F1AA4"/>
    <w:rsid w:val="006F1D96"/>
    <w:rsid w:val="006F2A8B"/>
    <w:rsid w:val="006F7042"/>
    <w:rsid w:val="006F762C"/>
    <w:rsid w:val="006F7668"/>
    <w:rsid w:val="00700908"/>
    <w:rsid w:val="00701350"/>
    <w:rsid w:val="00702395"/>
    <w:rsid w:val="0070353D"/>
    <w:rsid w:val="00705546"/>
    <w:rsid w:val="007122B5"/>
    <w:rsid w:val="00712B72"/>
    <w:rsid w:val="00712D14"/>
    <w:rsid w:val="0071316C"/>
    <w:rsid w:val="0071351D"/>
    <w:rsid w:val="00713839"/>
    <w:rsid w:val="00715EF6"/>
    <w:rsid w:val="0072021A"/>
    <w:rsid w:val="0072072D"/>
    <w:rsid w:val="007218D4"/>
    <w:rsid w:val="00722777"/>
    <w:rsid w:val="00726539"/>
    <w:rsid w:val="0072746D"/>
    <w:rsid w:val="00727D64"/>
    <w:rsid w:val="00731137"/>
    <w:rsid w:val="0073178D"/>
    <w:rsid w:val="00733B09"/>
    <w:rsid w:val="00733EF6"/>
    <w:rsid w:val="00737D52"/>
    <w:rsid w:val="00737E37"/>
    <w:rsid w:val="00746FD6"/>
    <w:rsid w:val="0074702E"/>
    <w:rsid w:val="00751221"/>
    <w:rsid w:val="00752A96"/>
    <w:rsid w:val="00753D40"/>
    <w:rsid w:val="00756A98"/>
    <w:rsid w:val="00760666"/>
    <w:rsid w:val="00760BDF"/>
    <w:rsid w:val="007618FB"/>
    <w:rsid w:val="007643CB"/>
    <w:rsid w:val="00764AED"/>
    <w:rsid w:val="007677F9"/>
    <w:rsid w:val="00770CF4"/>
    <w:rsid w:val="00771236"/>
    <w:rsid w:val="007713A1"/>
    <w:rsid w:val="0077223A"/>
    <w:rsid w:val="007737DD"/>
    <w:rsid w:val="00776713"/>
    <w:rsid w:val="00776AF8"/>
    <w:rsid w:val="00776B74"/>
    <w:rsid w:val="00782D25"/>
    <w:rsid w:val="007833AA"/>
    <w:rsid w:val="007844D9"/>
    <w:rsid w:val="00784737"/>
    <w:rsid w:val="007857D2"/>
    <w:rsid w:val="00787D41"/>
    <w:rsid w:val="00787DA2"/>
    <w:rsid w:val="00791AA0"/>
    <w:rsid w:val="0079272B"/>
    <w:rsid w:val="007A0DA3"/>
    <w:rsid w:val="007A15A2"/>
    <w:rsid w:val="007A39A0"/>
    <w:rsid w:val="007A4E3C"/>
    <w:rsid w:val="007A6237"/>
    <w:rsid w:val="007A7B02"/>
    <w:rsid w:val="007B1FF5"/>
    <w:rsid w:val="007B2E04"/>
    <w:rsid w:val="007B5960"/>
    <w:rsid w:val="007B6773"/>
    <w:rsid w:val="007B6C46"/>
    <w:rsid w:val="007C2796"/>
    <w:rsid w:val="007C4353"/>
    <w:rsid w:val="007C6838"/>
    <w:rsid w:val="007D0AC1"/>
    <w:rsid w:val="007D1919"/>
    <w:rsid w:val="007D21B4"/>
    <w:rsid w:val="007D30B5"/>
    <w:rsid w:val="007D3854"/>
    <w:rsid w:val="007D4B8A"/>
    <w:rsid w:val="007D7E26"/>
    <w:rsid w:val="007E2F2E"/>
    <w:rsid w:val="007E3259"/>
    <w:rsid w:val="007E3D2D"/>
    <w:rsid w:val="007E4C76"/>
    <w:rsid w:val="007E4CE8"/>
    <w:rsid w:val="007E5A88"/>
    <w:rsid w:val="007E5B96"/>
    <w:rsid w:val="007E619A"/>
    <w:rsid w:val="007E6EC2"/>
    <w:rsid w:val="007E7250"/>
    <w:rsid w:val="007F04A6"/>
    <w:rsid w:val="007F2337"/>
    <w:rsid w:val="007F313A"/>
    <w:rsid w:val="007F6627"/>
    <w:rsid w:val="00800E96"/>
    <w:rsid w:val="008018A3"/>
    <w:rsid w:val="00803C7D"/>
    <w:rsid w:val="00805C88"/>
    <w:rsid w:val="00807B49"/>
    <w:rsid w:val="008116DF"/>
    <w:rsid w:val="00812D10"/>
    <w:rsid w:val="008137E4"/>
    <w:rsid w:val="0081547C"/>
    <w:rsid w:val="008200CF"/>
    <w:rsid w:val="0082488E"/>
    <w:rsid w:val="00826166"/>
    <w:rsid w:val="008301D0"/>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4AE2"/>
    <w:rsid w:val="00867017"/>
    <w:rsid w:val="00867372"/>
    <w:rsid w:val="00871F57"/>
    <w:rsid w:val="00874064"/>
    <w:rsid w:val="00875009"/>
    <w:rsid w:val="00876864"/>
    <w:rsid w:val="008806B5"/>
    <w:rsid w:val="008859FF"/>
    <w:rsid w:val="00887DF9"/>
    <w:rsid w:val="00891FEB"/>
    <w:rsid w:val="00893B4F"/>
    <w:rsid w:val="008A07DB"/>
    <w:rsid w:val="008A0CD1"/>
    <w:rsid w:val="008A2078"/>
    <w:rsid w:val="008A2B51"/>
    <w:rsid w:val="008A5761"/>
    <w:rsid w:val="008A60DA"/>
    <w:rsid w:val="008B044B"/>
    <w:rsid w:val="008B06DE"/>
    <w:rsid w:val="008B1AD2"/>
    <w:rsid w:val="008B1FEC"/>
    <w:rsid w:val="008B40EB"/>
    <w:rsid w:val="008B574D"/>
    <w:rsid w:val="008B5C2D"/>
    <w:rsid w:val="008B5CCF"/>
    <w:rsid w:val="008B6418"/>
    <w:rsid w:val="008B652C"/>
    <w:rsid w:val="008B7AB0"/>
    <w:rsid w:val="008C2657"/>
    <w:rsid w:val="008C37C3"/>
    <w:rsid w:val="008C3FC6"/>
    <w:rsid w:val="008C63DB"/>
    <w:rsid w:val="008D0B7A"/>
    <w:rsid w:val="008D37B1"/>
    <w:rsid w:val="008D3D9C"/>
    <w:rsid w:val="008D5F2B"/>
    <w:rsid w:val="008D6D06"/>
    <w:rsid w:val="008D7A68"/>
    <w:rsid w:val="008E03E8"/>
    <w:rsid w:val="008E4926"/>
    <w:rsid w:val="008F0575"/>
    <w:rsid w:val="008F2591"/>
    <w:rsid w:val="008F2E10"/>
    <w:rsid w:val="008F4B86"/>
    <w:rsid w:val="008F5060"/>
    <w:rsid w:val="008F57AD"/>
    <w:rsid w:val="008F5965"/>
    <w:rsid w:val="008F5B18"/>
    <w:rsid w:val="008F72F8"/>
    <w:rsid w:val="008F761B"/>
    <w:rsid w:val="00902FFA"/>
    <w:rsid w:val="00903FA3"/>
    <w:rsid w:val="00904BC6"/>
    <w:rsid w:val="00907E67"/>
    <w:rsid w:val="00910877"/>
    <w:rsid w:val="00912E5E"/>
    <w:rsid w:val="00913B63"/>
    <w:rsid w:val="00917D10"/>
    <w:rsid w:val="00921F0A"/>
    <w:rsid w:val="00922E06"/>
    <w:rsid w:val="00930DD4"/>
    <w:rsid w:val="00932C93"/>
    <w:rsid w:val="00935BD8"/>
    <w:rsid w:val="00936118"/>
    <w:rsid w:val="00936592"/>
    <w:rsid w:val="00937704"/>
    <w:rsid w:val="00942C77"/>
    <w:rsid w:val="00943A21"/>
    <w:rsid w:val="00944B33"/>
    <w:rsid w:val="00946ADB"/>
    <w:rsid w:val="0094719C"/>
    <w:rsid w:val="00947C71"/>
    <w:rsid w:val="00951A8E"/>
    <w:rsid w:val="009525FB"/>
    <w:rsid w:val="009527D5"/>
    <w:rsid w:val="00953116"/>
    <w:rsid w:val="009604FA"/>
    <w:rsid w:val="009611CD"/>
    <w:rsid w:val="0096199D"/>
    <w:rsid w:val="00962181"/>
    <w:rsid w:val="00963821"/>
    <w:rsid w:val="00963D5B"/>
    <w:rsid w:val="0096455B"/>
    <w:rsid w:val="00964F6C"/>
    <w:rsid w:val="00972056"/>
    <w:rsid w:val="00972967"/>
    <w:rsid w:val="00973B9C"/>
    <w:rsid w:val="009744B6"/>
    <w:rsid w:val="00980ED1"/>
    <w:rsid w:val="00981226"/>
    <w:rsid w:val="0098357D"/>
    <w:rsid w:val="00983B68"/>
    <w:rsid w:val="00985053"/>
    <w:rsid w:val="009875B4"/>
    <w:rsid w:val="0098779D"/>
    <w:rsid w:val="00992034"/>
    <w:rsid w:val="00994660"/>
    <w:rsid w:val="00994AA9"/>
    <w:rsid w:val="00997BBC"/>
    <w:rsid w:val="009A133B"/>
    <w:rsid w:val="009A1FEC"/>
    <w:rsid w:val="009A5C5C"/>
    <w:rsid w:val="009B343A"/>
    <w:rsid w:val="009B3B56"/>
    <w:rsid w:val="009B6604"/>
    <w:rsid w:val="009B6C57"/>
    <w:rsid w:val="009B6E40"/>
    <w:rsid w:val="009B75C4"/>
    <w:rsid w:val="009B7A45"/>
    <w:rsid w:val="009B7EBE"/>
    <w:rsid w:val="009C06F5"/>
    <w:rsid w:val="009C1095"/>
    <w:rsid w:val="009C61F9"/>
    <w:rsid w:val="009C7B08"/>
    <w:rsid w:val="009D02AD"/>
    <w:rsid w:val="009D0AF5"/>
    <w:rsid w:val="009D0FD4"/>
    <w:rsid w:val="009D18CA"/>
    <w:rsid w:val="009D2301"/>
    <w:rsid w:val="009D2968"/>
    <w:rsid w:val="009D33E9"/>
    <w:rsid w:val="009D5467"/>
    <w:rsid w:val="009D553B"/>
    <w:rsid w:val="009E0C4D"/>
    <w:rsid w:val="009E0E6E"/>
    <w:rsid w:val="009E2F63"/>
    <w:rsid w:val="009E4907"/>
    <w:rsid w:val="009E6443"/>
    <w:rsid w:val="009E6DDF"/>
    <w:rsid w:val="009E7C4F"/>
    <w:rsid w:val="009F00BC"/>
    <w:rsid w:val="009F1642"/>
    <w:rsid w:val="009F2444"/>
    <w:rsid w:val="009F4BE4"/>
    <w:rsid w:val="009F4DF6"/>
    <w:rsid w:val="009F54C7"/>
    <w:rsid w:val="009F5788"/>
    <w:rsid w:val="00A03A96"/>
    <w:rsid w:val="00A05256"/>
    <w:rsid w:val="00A058CB"/>
    <w:rsid w:val="00A075B9"/>
    <w:rsid w:val="00A11879"/>
    <w:rsid w:val="00A134B1"/>
    <w:rsid w:val="00A14EAE"/>
    <w:rsid w:val="00A15B9B"/>
    <w:rsid w:val="00A16244"/>
    <w:rsid w:val="00A202FE"/>
    <w:rsid w:val="00A21FED"/>
    <w:rsid w:val="00A239BD"/>
    <w:rsid w:val="00A2408E"/>
    <w:rsid w:val="00A26A24"/>
    <w:rsid w:val="00A26A7B"/>
    <w:rsid w:val="00A26D83"/>
    <w:rsid w:val="00A35219"/>
    <w:rsid w:val="00A37C31"/>
    <w:rsid w:val="00A40F6A"/>
    <w:rsid w:val="00A43A66"/>
    <w:rsid w:val="00A450BA"/>
    <w:rsid w:val="00A46744"/>
    <w:rsid w:val="00A50C05"/>
    <w:rsid w:val="00A54104"/>
    <w:rsid w:val="00A54283"/>
    <w:rsid w:val="00A544BA"/>
    <w:rsid w:val="00A55913"/>
    <w:rsid w:val="00A6034F"/>
    <w:rsid w:val="00A6184D"/>
    <w:rsid w:val="00A6191E"/>
    <w:rsid w:val="00A61CAF"/>
    <w:rsid w:val="00A660EB"/>
    <w:rsid w:val="00A66FFF"/>
    <w:rsid w:val="00A71D64"/>
    <w:rsid w:val="00A742B3"/>
    <w:rsid w:val="00A75A40"/>
    <w:rsid w:val="00A812D6"/>
    <w:rsid w:val="00A8136B"/>
    <w:rsid w:val="00A82EDB"/>
    <w:rsid w:val="00A830FC"/>
    <w:rsid w:val="00A87E14"/>
    <w:rsid w:val="00A87F67"/>
    <w:rsid w:val="00A90B54"/>
    <w:rsid w:val="00A916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D1745"/>
    <w:rsid w:val="00AD17D3"/>
    <w:rsid w:val="00AD2262"/>
    <w:rsid w:val="00AD2DED"/>
    <w:rsid w:val="00AD4EDA"/>
    <w:rsid w:val="00AD66ED"/>
    <w:rsid w:val="00AD798E"/>
    <w:rsid w:val="00AE04DA"/>
    <w:rsid w:val="00AE0B9A"/>
    <w:rsid w:val="00AE1158"/>
    <w:rsid w:val="00AE249C"/>
    <w:rsid w:val="00AE2762"/>
    <w:rsid w:val="00AE2E76"/>
    <w:rsid w:val="00AE4B32"/>
    <w:rsid w:val="00AE4EAD"/>
    <w:rsid w:val="00AE52A3"/>
    <w:rsid w:val="00AE52B7"/>
    <w:rsid w:val="00AE5DF0"/>
    <w:rsid w:val="00AE6BA2"/>
    <w:rsid w:val="00AE6D64"/>
    <w:rsid w:val="00AF0C75"/>
    <w:rsid w:val="00AF23B3"/>
    <w:rsid w:val="00AF3FB5"/>
    <w:rsid w:val="00AF476C"/>
    <w:rsid w:val="00AF5141"/>
    <w:rsid w:val="00AF7A9F"/>
    <w:rsid w:val="00B009A6"/>
    <w:rsid w:val="00B043A6"/>
    <w:rsid w:val="00B07908"/>
    <w:rsid w:val="00B1548E"/>
    <w:rsid w:val="00B17149"/>
    <w:rsid w:val="00B17635"/>
    <w:rsid w:val="00B245DB"/>
    <w:rsid w:val="00B24791"/>
    <w:rsid w:val="00B26351"/>
    <w:rsid w:val="00B31802"/>
    <w:rsid w:val="00B31D6F"/>
    <w:rsid w:val="00B3419F"/>
    <w:rsid w:val="00B34A8F"/>
    <w:rsid w:val="00B353E2"/>
    <w:rsid w:val="00B411C4"/>
    <w:rsid w:val="00B43072"/>
    <w:rsid w:val="00B45622"/>
    <w:rsid w:val="00B475AD"/>
    <w:rsid w:val="00B51B2C"/>
    <w:rsid w:val="00B529B3"/>
    <w:rsid w:val="00B55B73"/>
    <w:rsid w:val="00B606BB"/>
    <w:rsid w:val="00B61299"/>
    <w:rsid w:val="00B64570"/>
    <w:rsid w:val="00B64E48"/>
    <w:rsid w:val="00B6611C"/>
    <w:rsid w:val="00B6633B"/>
    <w:rsid w:val="00B66BCE"/>
    <w:rsid w:val="00B66E14"/>
    <w:rsid w:val="00B711CE"/>
    <w:rsid w:val="00B713B8"/>
    <w:rsid w:val="00B716C7"/>
    <w:rsid w:val="00B71BC8"/>
    <w:rsid w:val="00B73E50"/>
    <w:rsid w:val="00B748E9"/>
    <w:rsid w:val="00B74F5D"/>
    <w:rsid w:val="00B7645F"/>
    <w:rsid w:val="00B768C7"/>
    <w:rsid w:val="00B7737E"/>
    <w:rsid w:val="00B77B34"/>
    <w:rsid w:val="00B81599"/>
    <w:rsid w:val="00B82A68"/>
    <w:rsid w:val="00B85C20"/>
    <w:rsid w:val="00B864DA"/>
    <w:rsid w:val="00B905F8"/>
    <w:rsid w:val="00B9163C"/>
    <w:rsid w:val="00B91CDD"/>
    <w:rsid w:val="00B91F60"/>
    <w:rsid w:val="00B933A8"/>
    <w:rsid w:val="00B94130"/>
    <w:rsid w:val="00B95BE9"/>
    <w:rsid w:val="00BA0504"/>
    <w:rsid w:val="00BA1726"/>
    <w:rsid w:val="00BA46A7"/>
    <w:rsid w:val="00BB0719"/>
    <w:rsid w:val="00BB325B"/>
    <w:rsid w:val="00BB3FC9"/>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BF678B"/>
    <w:rsid w:val="00C0177B"/>
    <w:rsid w:val="00C03075"/>
    <w:rsid w:val="00C04D38"/>
    <w:rsid w:val="00C06CEE"/>
    <w:rsid w:val="00C10BEA"/>
    <w:rsid w:val="00C143D4"/>
    <w:rsid w:val="00C14E08"/>
    <w:rsid w:val="00C16873"/>
    <w:rsid w:val="00C20EDD"/>
    <w:rsid w:val="00C210DA"/>
    <w:rsid w:val="00C222F8"/>
    <w:rsid w:val="00C26D59"/>
    <w:rsid w:val="00C3115C"/>
    <w:rsid w:val="00C3161B"/>
    <w:rsid w:val="00C31FAB"/>
    <w:rsid w:val="00C32386"/>
    <w:rsid w:val="00C32701"/>
    <w:rsid w:val="00C33332"/>
    <w:rsid w:val="00C33943"/>
    <w:rsid w:val="00C4038C"/>
    <w:rsid w:val="00C4135D"/>
    <w:rsid w:val="00C41D1D"/>
    <w:rsid w:val="00C41F1C"/>
    <w:rsid w:val="00C42B4F"/>
    <w:rsid w:val="00C43A6F"/>
    <w:rsid w:val="00C44DA8"/>
    <w:rsid w:val="00C47ADC"/>
    <w:rsid w:val="00C51D45"/>
    <w:rsid w:val="00C524E8"/>
    <w:rsid w:val="00C54776"/>
    <w:rsid w:val="00C56B4F"/>
    <w:rsid w:val="00C60835"/>
    <w:rsid w:val="00C61E34"/>
    <w:rsid w:val="00C62E2E"/>
    <w:rsid w:val="00C65AD4"/>
    <w:rsid w:val="00C65C49"/>
    <w:rsid w:val="00C67C0E"/>
    <w:rsid w:val="00C67FBA"/>
    <w:rsid w:val="00C7085D"/>
    <w:rsid w:val="00C73542"/>
    <w:rsid w:val="00C751AB"/>
    <w:rsid w:val="00C75C7E"/>
    <w:rsid w:val="00C768E2"/>
    <w:rsid w:val="00C80873"/>
    <w:rsid w:val="00C82508"/>
    <w:rsid w:val="00C82F63"/>
    <w:rsid w:val="00C863E2"/>
    <w:rsid w:val="00C90159"/>
    <w:rsid w:val="00C91BE1"/>
    <w:rsid w:val="00CA1306"/>
    <w:rsid w:val="00CA1CB0"/>
    <w:rsid w:val="00CA33C8"/>
    <w:rsid w:val="00CA3854"/>
    <w:rsid w:val="00CA50A4"/>
    <w:rsid w:val="00CA77A1"/>
    <w:rsid w:val="00CA78E0"/>
    <w:rsid w:val="00CB0BD7"/>
    <w:rsid w:val="00CB1ED4"/>
    <w:rsid w:val="00CB3908"/>
    <w:rsid w:val="00CB4C0B"/>
    <w:rsid w:val="00CC0C4C"/>
    <w:rsid w:val="00CC147E"/>
    <w:rsid w:val="00CC1786"/>
    <w:rsid w:val="00CC4E7D"/>
    <w:rsid w:val="00CC5679"/>
    <w:rsid w:val="00CC5B2A"/>
    <w:rsid w:val="00CC6475"/>
    <w:rsid w:val="00CD06BB"/>
    <w:rsid w:val="00CD2775"/>
    <w:rsid w:val="00CD2AB3"/>
    <w:rsid w:val="00CD2D7F"/>
    <w:rsid w:val="00CD4334"/>
    <w:rsid w:val="00CD4BC1"/>
    <w:rsid w:val="00CD4EE4"/>
    <w:rsid w:val="00CD7A83"/>
    <w:rsid w:val="00CD7C43"/>
    <w:rsid w:val="00CE1469"/>
    <w:rsid w:val="00CE2487"/>
    <w:rsid w:val="00CE3F48"/>
    <w:rsid w:val="00CE4002"/>
    <w:rsid w:val="00CE4393"/>
    <w:rsid w:val="00CE6FB4"/>
    <w:rsid w:val="00CF146A"/>
    <w:rsid w:val="00CF2EBF"/>
    <w:rsid w:val="00CF3015"/>
    <w:rsid w:val="00CF5CF4"/>
    <w:rsid w:val="00CF7E1F"/>
    <w:rsid w:val="00D03468"/>
    <w:rsid w:val="00D03703"/>
    <w:rsid w:val="00D04CAD"/>
    <w:rsid w:val="00D11004"/>
    <w:rsid w:val="00D13F1B"/>
    <w:rsid w:val="00D1592A"/>
    <w:rsid w:val="00D1596A"/>
    <w:rsid w:val="00D17C70"/>
    <w:rsid w:val="00D22054"/>
    <w:rsid w:val="00D22813"/>
    <w:rsid w:val="00D23654"/>
    <w:rsid w:val="00D2438B"/>
    <w:rsid w:val="00D264C9"/>
    <w:rsid w:val="00D30BB9"/>
    <w:rsid w:val="00D31285"/>
    <w:rsid w:val="00D32E23"/>
    <w:rsid w:val="00D35E3B"/>
    <w:rsid w:val="00D37907"/>
    <w:rsid w:val="00D41137"/>
    <w:rsid w:val="00D42F95"/>
    <w:rsid w:val="00D448EB"/>
    <w:rsid w:val="00D504ED"/>
    <w:rsid w:val="00D50534"/>
    <w:rsid w:val="00D50D6D"/>
    <w:rsid w:val="00D50F56"/>
    <w:rsid w:val="00D5226F"/>
    <w:rsid w:val="00D53934"/>
    <w:rsid w:val="00D5532C"/>
    <w:rsid w:val="00D55643"/>
    <w:rsid w:val="00D55C7B"/>
    <w:rsid w:val="00D56127"/>
    <w:rsid w:val="00D56ABA"/>
    <w:rsid w:val="00D579B5"/>
    <w:rsid w:val="00D61E20"/>
    <w:rsid w:val="00D62935"/>
    <w:rsid w:val="00D635BF"/>
    <w:rsid w:val="00D6633D"/>
    <w:rsid w:val="00D71CCC"/>
    <w:rsid w:val="00D71F89"/>
    <w:rsid w:val="00D72C28"/>
    <w:rsid w:val="00D73AA3"/>
    <w:rsid w:val="00D74267"/>
    <w:rsid w:val="00D779CB"/>
    <w:rsid w:val="00D8198F"/>
    <w:rsid w:val="00D81A22"/>
    <w:rsid w:val="00D81E3A"/>
    <w:rsid w:val="00D8599A"/>
    <w:rsid w:val="00D862CE"/>
    <w:rsid w:val="00D86726"/>
    <w:rsid w:val="00D87D2C"/>
    <w:rsid w:val="00D9290B"/>
    <w:rsid w:val="00D96071"/>
    <w:rsid w:val="00DA0177"/>
    <w:rsid w:val="00DA02C0"/>
    <w:rsid w:val="00DA64CE"/>
    <w:rsid w:val="00DB0087"/>
    <w:rsid w:val="00DB0397"/>
    <w:rsid w:val="00DB2ABF"/>
    <w:rsid w:val="00DB39FE"/>
    <w:rsid w:val="00DC2482"/>
    <w:rsid w:val="00DC5BDF"/>
    <w:rsid w:val="00DC723A"/>
    <w:rsid w:val="00DD146E"/>
    <w:rsid w:val="00DD1B74"/>
    <w:rsid w:val="00DD1C68"/>
    <w:rsid w:val="00DD2410"/>
    <w:rsid w:val="00DD3229"/>
    <w:rsid w:val="00DD5B6B"/>
    <w:rsid w:val="00DD6C47"/>
    <w:rsid w:val="00DD7483"/>
    <w:rsid w:val="00DE42FB"/>
    <w:rsid w:val="00DE5895"/>
    <w:rsid w:val="00DE6934"/>
    <w:rsid w:val="00DF01B2"/>
    <w:rsid w:val="00DF0285"/>
    <w:rsid w:val="00DF130F"/>
    <w:rsid w:val="00DF4456"/>
    <w:rsid w:val="00DF5202"/>
    <w:rsid w:val="00E0185E"/>
    <w:rsid w:val="00E0252E"/>
    <w:rsid w:val="00E02F86"/>
    <w:rsid w:val="00E0663D"/>
    <w:rsid w:val="00E06A43"/>
    <w:rsid w:val="00E0745A"/>
    <w:rsid w:val="00E10AEF"/>
    <w:rsid w:val="00E10E03"/>
    <w:rsid w:val="00E12D07"/>
    <w:rsid w:val="00E14F20"/>
    <w:rsid w:val="00E214DE"/>
    <w:rsid w:val="00E2164B"/>
    <w:rsid w:val="00E21F47"/>
    <w:rsid w:val="00E257D2"/>
    <w:rsid w:val="00E25931"/>
    <w:rsid w:val="00E26567"/>
    <w:rsid w:val="00E267CF"/>
    <w:rsid w:val="00E27507"/>
    <w:rsid w:val="00E306AD"/>
    <w:rsid w:val="00E32368"/>
    <w:rsid w:val="00E33C26"/>
    <w:rsid w:val="00E33C63"/>
    <w:rsid w:val="00E33F3F"/>
    <w:rsid w:val="00E36FCE"/>
    <w:rsid w:val="00E44B15"/>
    <w:rsid w:val="00E554A3"/>
    <w:rsid w:val="00E55E87"/>
    <w:rsid w:val="00E56067"/>
    <w:rsid w:val="00E56320"/>
    <w:rsid w:val="00E57036"/>
    <w:rsid w:val="00E63F56"/>
    <w:rsid w:val="00E64D4A"/>
    <w:rsid w:val="00E6685C"/>
    <w:rsid w:val="00E67657"/>
    <w:rsid w:val="00E7101D"/>
    <w:rsid w:val="00E71E6F"/>
    <w:rsid w:val="00E75A88"/>
    <w:rsid w:val="00E7703C"/>
    <w:rsid w:val="00E771E0"/>
    <w:rsid w:val="00E805E8"/>
    <w:rsid w:val="00E80666"/>
    <w:rsid w:val="00E8159E"/>
    <w:rsid w:val="00E816CE"/>
    <w:rsid w:val="00E91344"/>
    <w:rsid w:val="00E9244E"/>
    <w:rsid w:val="00E9380E"/>
    <w:rsid w:val="00E93CF4"/>
    <w:rsid w:val="00EA1BB5"/>
    <w:rsid w:val="00EA34E5"/>
    <w:rsid w:val="00EA5770"/>
    <w:rsid w:val="00EA6377"/>
    <w:rsid w:val="00EB195F"/>
    <w:rsid w:val="00EB2368"/>
    <w:rsid w:val="00EB4CAA"/>
    <w:rsid w:val="00EB542F"/>
    <w:rsid w:val="00EB56E5"/>
    <w:rsid w:val="00EB6561"/>
    <w:rsid w:val="00EC0AA6"/>
    <w:rsid w:val="00EC122F"/>
    <w:rsid w:val="00EC24AE"/>
    <w:rsid w:val="00ED0977"/>
    <w:rsid w:val="00ED16C6"/>
    <w:rsid w:val="00ED4907"/>
    <w:rsid w:val="00ED4991"/>
    <w:rsid w:val="00ED66D5"/>
    <w:rsid w:val="00EE03AE"/>
    <w:rsid w:val="00EE06EC"/>
    <w:rsid w:val="00EE35AD"/>
    <w:rsid w:val="00EE37BE"/>
    <w:rsid w:val="00EE3D1A"/>
    <w:rsid w:val="00EF1343"/>
    <w:rsid w:val="00EF284B"/>
    <w:rsid w:val="00EF4439"/>
    <w:rsid w:val="00EF7C06"/>
    <w:rsid w:val="00EF7F93"/>
    <w:rsid w:val="00F0050B"/>
    <w:rsid w:val="00F00811"/>
    <w:rsid w:val="00F008EF"/>
    <w:rsid w:val="00F02DC4"/>
    <w:rsid w:val="00F03A6B"/>
    <w:rsid w:val="00F048FF"/>
    <w:rsid w:val="00F05705"/>
    <w:rsid w:val="00F14735"/>
    <w:rsid w:val="00F15731"/>
    <w:rsid w:val="00F16DCA"/>
    <w:rsid w:val="00F20091"/>
    <w:rsid w:val="00F261B1"/>
    <w:rsid w:val="00F26C2D"/>
    <w:rsid w:val="00F27A1F"/>
    <w:rsid w:val="00F311CC"/>
    <w:rsid w:val="00F32055"/>
    <w:rsid w:val="00F33EAC"/>
    <w:rsid w:val="00F34004"/>
    <w:rsid w:val="00F341FC"/>
    <w:rsid w:val="00F374FD"/>
    <w:rsid w:val="00F41A3E"/>
    <w:rsid w:val="00F435E2"/>
    <w:rsid w:val="00F44A88"/>
    <w:rsid w:val="00F50DA9"/>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3876"/>
    <w:rsid w:val="00F8624F"/>
    <w:rsid w:val="00F86BF1"/>
    <w:rsid w:val="00F87923"/>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7C34"/>
    <w:rsid w:val="00FD0D77"/>
    <w:rsid w:val="00FD172C"/>
    <w:rsid w:val="00FD3A8E"/>
    <w:rsid w:val="00FD5645"/>
    <w:rsid w:val="00FE2BD0"/>
    <w:rsid w:val="00FE5344"/>
    <w:rsid w:val="00FF10E5"/>
    <w:rsid w:val="00FF12BE"/>
    <w:rsid w:val="00FF2F25"/>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9F26E9-CA11-4FFD-A8AD-4723B9C37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ello,h3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c"/>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0"/>
    <w:link w:val="B10"/>
    <w:locked/>
    <w:rsid w:val="00EC122F"/>
    <w:rPr>
      <w:rFonts w:ascii="Times New Roman" w:eastAsia="Times New Roman" w:hAnsi="Times New Roman" w:cs="Times New Roman"/>
      <w:kern w:val="0"/>
      <w:sz w:val="20"/>
      <w:szCs w:val="20"/>
      <w:lang w:val="en-GB" w:eastAsia="en-GB"/>
    </w:rPr>
  </w:style>
  <w:style w:type="paragraph" w:styleId="ac">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footnote text1,footnote text2,footnote text3,footnote text4"/>
    <w:basedOn w:val="a"/>
    <w:link w:val="Char4"/>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footnote text1 Char"/>
    <w:basedOn w:val="a0"/>
    <w:link w:val="ad"/>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aliases w:val="cap,cap Char,Caption Char1 Char,cap Char Char1,Caption Char Char1 Char,cap Char2,3GPP Caption Table"/>
    <w:basedOn w:val="a"/>
    <w:next w:val="a"/>
    <w:link w:val="Char5"/>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iPriority w:val="99"/>
    <w:unhideWhenUsed/>
    <w:rsid w:val="00AE4B32"/>
    <w:rPr>
      <w:sz w:val="21"/>
      <w:szCs w:val="21"/>
    </w:rPr>
  </w:style>
  <w:style w:type="paragraph" w:styleId="af1">
    <w:name w:val="annotation text"/>
    <w:basedOn w:val="a"/>
    <w:link w:val="Char6"/>
    <w:uiPriority w:val="99"/>
    <w:unhideWhenUsed/>
    <w:rsid w:val="00AE4B32"/>
    <w:pPr>
      <w:jc w:val="left"/>
    </w:pPr>
  </w:style>
  <w:style w:type="character" w:customStyle="1" w:styleId="Char6">
    <w:name w:val="批注文字 Char"/>
    <w:basedOn w:val="a0"/>
    <w:link w:val="af1"/>
    <w:uiPriority w:val="99"/>
    <w:rsid w:val="00AE4B32"/>
  </w:style>
  <w:style w:type="paragraph" w:styleId="af2">
    <w:name w:val="annotation subject"/>
    <w:basedOn w:val="af1"/>
    <w:next w:val="af1"/>
    <w:link w:val="Char7"/>
    <w:unhideWhenUsed/>
    <w:rsid w:val="00AE4B32"/>
    <w:rPr>
      <w:b/>
      <w:bCs/>
    </w:rPr>
  </w:style>
  <w:style w:type="character" w:customStyle="1" w:styleId="Char7">
    <w:name w:val="批注主题 Char"/>
    <w:basedOn w:val="Char6"/>
    <w:link w:val="af2"/>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8"/>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8">
    <w:name w:val="正文文本 Char"/>
    <w:basedOn w:val="a0"/>
    <w:link w:val="af3"/>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0">
    <w:name w:val="toc 8"/>
    <w:basedOn w:val="11"/>
    <w:uiPriority w:val="39"/>
    <w:rsid w:val="00CA1306"/>
    <w:pPr>
      <w:spacing w:before="180"/>
      <w:ind w:left="2693" w:hanging="2693"/>
    </w:pPr>
    <w:rPr>
      <w:b/>
    </w:rPr>
  </w:style>
  <w:style w:type="paragraph" w:styleId="11">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0"/>
    <w:uiPriority w:val="39"/>
    <w:rsid w:val="00CA1306"/>
    <w:pPr>
      <w:ind w:left="1701" w:hanging="1701"/>
    </w:pPr>
  </w:style>
  <w:style w:type="paragraph" w:styleId="40">
    <w:name w:val="toc 4"/>
    <w:basedOn w:val="30"/>
    <w:uiPriority w:val="39"/>
    <w:rsid w:val="00CA1306"/>
    <w:pPr>
      <w:ind w:left="1418" w:hanging="1418"/>
    </w:pPr>
  </w:style>
  <w:style w:type="paragraph" w:styleId="30">
    <w:name w:val="toc 3"/>
    <w:basedOn w:val="21"/>
    <w:rsid w:val="00CA1306"/>
    <w:pPr>
      <w:ind w:left="1134" w:hanging="1134"/>
    </w:pPr>
  </w:style>
  <w:style w:type="paragraph" w:styleId="21">
    <w:name w:val="toc 2"/>
    <w:basedOn w:val="11"/>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2">
    <w:name w:val="List Number 2"/>
    <w:basedOn w:val="af5"/>
    <w:rsid w:val="00CA1306"/>
    <w:pPr>
      <w:ind w:left="851"/>
    </w:pPr>
  </w:style>
  <w:style w:type="paragraph" w:styleId="af5">
    <w:name w:val="List Number"/>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0">
    <w:name w:val="toc 9"/>
    <w:basedOn w:val="80"/>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0">
    <w:name w:val="toc 6"/>
    <w:basedOn w:val="50"/>
    <w:next w:val="a"/>
    <w:uiPriority w:val="39"/>
    <w:rsid w:val="00CA1306"/>
    <w:pPr>
      <w:ind w:left="1985" w:hanging="1985"/>
    </w:pPr>
  </w:style>
  <w:style w:type="paragraph" w:styleId="70">
    <w:name w:val="toc 7"/>
    <w:basedOn w:val="60"/>
    <w:next w:val="a"/>
    <w:uiPriority w:val="39"/>
    <w:rsid w:val="00CA1306"/>
    <w:pPr>
      <w:ind w:left="2268" w:hanging="2268"/>
    </w:pPr>
  </w:style>
  <w:style w:type="paragraph" w:styleId="23">
    <w:name w:val="List Bullet 2"/>
    <w:basedOn w:val="af6"/>
    <w:link w:val="2Char0"/>
    <w:rsid w:val="00CA1306"/>
    <w:pPr>
      <w:ind w:left="851"/>
    </w:pPr>
  </w:style>
  <w:style w:type="paragraph" w:styleId="af6">
    <w:name w:val="List Bullet"/>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1">
    <w:name w:val="List Bullet 3"/>
    <w:basedOn w:val="23"/>
    <w:rsid w:val="00CA1306"/>
    <w:pPr>
      <w:ind w:left="1135"/>
    </w:pPr>
  </w:style>
  <w:style w:type="character" w:customStyle="1" w:styleId="EQChar">
    <w:name w:val="EQ Char"/>
    <w:link w:val="EQ"/>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qFormat/>
    <w:rsid w:val="00CA1306"/>
  </w:style>
  <w:style w:type="paragraph" w:styleId="24">
    <w:name w:val="List 2"/>
    <w:basedOn w:val="ac"/>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CA1306"/>
    <w:pPr>
      <w:ind w:left="1135"/>
    </w:pPr>
  </w:style>
  <w:style w:type="paragraph" w:styleId="41">
    <w:name w:val="List 4"/>
    <w:basedOn w:val="32"/>
    <w:rsid w:val="00CA1306"/>
    <w:pPr>
      <w:ind w:left="1418"/>
    </w:pPr>
  </w:style>
  <w:style w:type="paragraph" w:styleId="51">
    <w:name w:val="List 5"/>
    <w:basedOn w:val="41"/>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2">
    <w:name w:val="List Bullet 4"/>
    <w:basedOn w:val="31"/>
    <w:rsid w:val="00CA1306"/>
    <w:pPr>
      <w:ind w:left="1418"/>
    </w:pPr>
  </w:style>
  <w:style w:type="paragraph" w:styleId="52">
    <w:name w:val="List Bullet 5"/>
    <w:basedOn w:val="42"/>
    <w:rsid w:val="00CA1306"/>
    <w:pPr>
      <w:ind w:left="1702"/>
    </w:pPr>
  </w:style>
  <w:style w:type="paragraph" w:customStyle="1" w:styleId="B20">
    <w:name w:val="B2"/>
    <w:basedOn w:val="24"/>
    <w:link w:val="B2Char"/>
    <w:qFormat/>
    <w:rsid w:val="00CA1306"/>
  </w:style>
  <w:style w:type="character" w:customStyle="1" w:styleId="B2Char">
    <w:name w:val="B2 Char"/>
    <w:link w:val="B20"/>
    <w:rsid w:val="00CA1306"/>
    <w:rPr>
      <w:rFonts w:ascii="Times New Roman" w:hAnsi="Times New Roman" w:cs="Times New Roman"/>
      <w:kern w:val="0"/>
      <w:sz w:val="20"/>
      <w:szCs w:val="20"/>
      <w:lang w:val="en-GB" w:eastAsia="en-US"/>
    </w:rPr>
  </w:style>
  <w:style w:type="paragraph" w:customStyle="1" w:styleId="B30">
    <w:name w:val="B3"/>
    <w:basedOn w:val="32"/>
    <w:link w:val="B3Char2"/>
    <w:rsid w:val="00CA1306"/>
  </w:style>
  <w:style w:type="character" w:customStyle="1" w:styleId="B3Char2">
    <w:name w:val="B3 Char2"/>
    <w:link w:val="B30"/>
    <w:rsid w:val="00CA1306"/>
    <w:rPr>
      <w:rFonts w:ascii="Times New Roman" w:hAnsi="Times New Roman" w:cs="Times New Roman"/>
      <w:kern w:val="0"/>
      <w:sz w:val="20"/>
      <w:szCs w:val="20"/>
      <w:lang w:val="en-GB" w:eastAsia="en-US"/>
    </w:rPr>
  </w:style>
  <w:style w:type="paragraph" w:customStyle="1" w:styleId="B4">
    <w:name w:val="B4"/>
    <w:basedOn w:val="41"/>
    <w:link w:val="B4Char"/>
    <w:rsid w:val="00CA1306"/>
  </w:style>
  <w:style w:type="paragraph" w:customStyle="1" w:styleId="B5">
    <w:name w:val="B5"/>
    <w:basedOn w:val="51"/>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7">
    <w:name w:val="FollowedHyperlink"/>
    <w:rsid w:val="00CA1306"/>
    <w:rPr>
      <w:color w:val="800080"/>
      <w:u w:val="single"/>
    </w:rPr>
  </w:style>
  <w:style w:type="paragraph" w:styleId="af8">
    <w:name w:val="Document Map"/>
    <w:basedOn w:val="a"/>
    <w:link w:val="Char9"/>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Char9">
    <w:name w:val="文档结构图 Char"/>
    <w:basedOn w:val="a0"/>
    <w:link w:val="af8"/>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9">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qFormat/>
    <w:rsid w:val="00CA1306"/>
    <w:rPr>
      <w:rFonts w:ascii="Arial" w:hAnsi="Arial"/>
      <w:sz w:val="18"/>
      <w:lang w:val="en-GB"/>
    </w:rPr>
  </w:style>
  <w:style w:type="character" w:customStyle="1" w:styleId="UnresolvedMention">
    <w:name w:val="Unresolved Mention"/>
    <w:uiPriority w:val="99"/>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a">
    <w:name w:val="page number"/>
    <w:rsid w:val="00CA1306"/>
  </w:style>
  <w:style w:type="paragraph" w:customStyle="1" w:styleId="Reference">
    <w:name w:val="Reference"/>
    <w:basedOn w:val="a"/>
    <w:rsid w:val="00CA1306"/>
    <w:pPr>
      <w:keepLines/>
      <w:widowControl/>
      <w:numPr>
        <w:ilvl w:val="1"/>
        <w:numId w:val="3"/>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styleId="afb">
    <w:name w:val="Emphasis"/>
    <w:qFormat/>
    <w:rsid w:val="00CA1306"/>
    <w:rPr>
      <w:i/>
      <w:iCs/>
    </w:rPr>
  </w:style>
  <w:style w:type="character" w:styleId="afc">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d">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e">
    <w:name w:val="Plain Text"/>
    <w:basedOn w:val="a"/>
    <w:link w:val="Chara"/>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Chara">
    <w:name w:val="纯文本 Char"/>
    <w:basedOn w:val="a0"/>
    <w:link w:val="afe"/>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7"/>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3">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3">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3">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CA1306"/>
    <w:rPr>
      <w:rFonts w:ascii="Times New Roman" w:eastAsia="Batang" w:hAnsi="Times New Roman" w:cs="Times New Roman"/>
      <w:kern w:val="0"/>
      <w:sz w:val="20"/>
      <w:szCs w:val="20"/>
      <w:lang w:val="en-GB" w:eastAsia="en-US"/>
    </w:rPr>
  </w:style>
  <w:style w:type="paragraph" w:customStyle="1" w:styleId="12">
    <w:name w:val="修订1"/>
    <w:hidden/>
    <w:semiHidden/>
    <w:rsid w:val="00CA1306"/>
    <w:rPr>
      <w:rFonts w:ascii="Times New Roman" w:eastAsia="Batang" w:hAnsi="Times New Roman" w:cs="Times New Roman"/>
      <w:kern w:val="0"/>
      <w:sz w:val="20"/>
      <w:szCs w:val="20"/>
      <w:lang w:val="en-GB" w:eastAsia="en-US"/>
    </w:rPr>
  </w:style>
  <w:style w:type="paragraph" w:styleId="aff0">
    <w:name w:val="endnote text"/>
    <w:basedOn w:val="a"/>
    <w:link w:val="Charb"/>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Charb">
    <w:name w:val="尾注文本 Char"/>
    <w:basedOn w:val="a0"/>
    <w:link w:val="aff0"/>
    <w:rsid w:val="00CA1306"/>
    <w:rPr>
      <w:rFonts w:ascii="Times New Roman" w:eastAsia="Times New Roman" w:hAnsi="Times New Roman" w:cs="Times New Roman"/>
      <w:kern w:val="0"/>
      <w:sz w:val="20"/>
      <w:szCs w:val="20"/>
      <w:lang w:val="en-GB" w:eastAsia="x-none"/>
    </w:rPr>
  </w:style>
  <w:style w:type="paragraph" w:customStyle="1" w:styleId="aff1">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2">
    <w:name w:val="Note Heading"/>
    <w:basedOn w:val="a"/>
    <w:next w:val="a"/>
    <w:link w:val="Charc"/>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注释标题 Char"/>
    <w:basedOn w:val="a0"/>
    <w:link w:val="aff2"/>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Char0">
    <w:name w:val="列表项目符号 2 Char"/>
    <w:link w:val="23"/>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1306"/>
  </w:style>
  <w:style w:type="numbering" w:customStyle="1" w:styleId="NoList6">
    <w:name w:val="No List6"/>
    <w:next w:val="a2"/>
    <w:uiPriority w:val="99"/>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3">
    <w:name w:val="Placeholder Text"/>
    <w:uiPriority w:val="99"/>
    <w:semiHidden/>
    <w:rsid w:val="00CA1306"/>
    <w:rPr>
      <w:color w:val="808080"/>
    </w:rPr>
  </w:style>
  <w:style w:type="paragraph" w:customStyle="1" w:styleId="TOC92">
    <w:name w:val="TOC 92"/>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7"/>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character" w:customStyle="1" w:styleId="search-word-mail">
    <w:name w:val="search-word-mail"/>
    <w:basedOn w:val="a0"/>
    <w:rsid w:val="00501873"/>
  </w:style>
  <w:style w:type="paragraph" w:customStyle="1" w:styleId="maintext">
    <w:name w:val="main text"/>
    <w:basedOn w:val="a"/>
    <w:link w:val="maintextChar"/>
    <w:qFormat/>
    <w:rsid w:val="0050187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501873"/>
    <w:rPr>
      <w:rFonts w:ascii="Times New Roman" w:eastAsia="Malgun Gothic" w:hAnsi="Times New Roman" w:cs="Batang"/>
      <w:kern w:val="0"/>
      <w:sz w:val="20"/>
      <w:szCs w:val="20"/>
      <w:lang w:val="en-GB" w:eastAsia="ko-KR"/>
    </w:rPr>
  </w:style>
  <w:style w:type="paragraph" w:customStyle="1" w:styleId="B1">
    <w:name w:val="B1+"/>
    <w:basedOn w:val="B10"/>
    <w:rsid w:val="00501873"/>
    <w:pPr>
      <w:numPr>
        <w:numId w:val="6"/>
      </w:numPr>
    </w:pPr>
    <w:rPr>
      <w:lang w:eastAsia="ko-KR"/>
    </w:rPr>
  </w:style>
  <w:style w:type="character" w:styleId="aff4">
    <w:name w:val="Subtle Reference"/>
    <w:uiPriority w:val="31"/>
    <w:qFormat/>
    <w:rsid w:val="00501873"/>
    <w:rPr>
      <w:smallCaps/>
      <w:color w:val="5A5A5A"/>
    </w:rPr>
  </w:style>
  <w:style w:type="paragraph" w:styleId="aff5">
    <w:name w:val="Body Text Indent"/>
    <w:basedOn w:val="a"/>
    <w:link w:val="Chard"/>
    <w:rsid w:val="00501873"/>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ko-KR"/>
    </w:rPr>
  </w:style>
  <w:style w:type="character" w:customStyle="1" w:styleId="Chard">
    <w:name w:val="正文文本缩进 Char"/>
    <w:basedOn w:val="a0"/>
    <w:link w:val="aff5"/>
    <w:rsid w:val="00501873"/>
    <w:rPr>
      <w:rFonts w:ascii="Times New Roman" w:eastAsia="宋体" w:hAnsi="Times New Roman" w:cs="Times New Roman"/>
      <w:kern w:val="0"/>
      <w:sz w:val="20"/>
      <w:szCs w:val="20"/>
      <w:lang w:val="en-GB" w:eastAsia="ko-KR"/>
    </w:rPr>
  </w:style>
  <w:style w:type="paragraph" w:customStyle="1" w:styleId="B2">
    <w:name w:val="B2+"/>
    <w:basedOn w:val="B20"/>
    <w:rsid w:val="00501873"/>
    <w:pPr>
      <w:numPr>
        <w:numId w:val="7"/>
      </w:numPr>
      <w:tabs>
        <w:tab w:val="clear" w:pos="1191"/>
      </w:tabs>
      <w:overflowPunct w:val="0"/>
      <w:autoSpaceDE w:val="0"/>
      <w:autoSpaceDN w:val="0"/>
      <w:adjustRightInd w:val="0"/>
      <w:ind w:left="850" w:hanging="420"/>
      <w:textAlignment w:val="baseline"/>
    </w:pPr>
    <w:rPr>
      <w:rFonts w:eastAsia="Times New Roman"/>
      <w:lang w:eastAsia="ko-KR"/>
    </w:rPr>
  </w:style>
  <w:style w:type="paragraph" w:customStyle="1" w:styleId="B3">
    <w:name w:val="B3+"/>
    <w:basedOn w:val="B30"/>
    <w:rsid w:val="00501873"/>
    <w:pPr>
      <w:numPr>
        <w:numId w:val="8"/>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01873"/>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rsid w:val="00501873"/>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character" w:customStyle="1" w:styleId="Char5">
    <w:name w:val="题注 Char"/>
    <w:aliases w:val="cap Char1,cap Char Char,Caption Char1 Char Char,cap Char Char1 Char,Caption Char Char1 Char Char,cap Char2 Char,3GPP Caption Table Char"/>
    <w:link w:val="af"/>
    <w:locked/>
    <w:rsid w:val="00501873"/>
    <w:rPr>
      <w:rFonts w:ascii="Arial" w:eastAsia="宋体" w:hAnsi="Arial" w:cs="Times New Roman"/>
      <w:b/>
      <w:bCs/>
      <w:color w:val="D2232A"/>
      <w:kern w:val="0"/>
      <w:sz w:val="20"/>
      <w:szCs w:val="20"/>
      <w:lang w:val="en-GB" w:eastAsia="en-US"/>
    </w:rPr>
  </w:style>
  <w:style w:type="character" w:customStyle="1" w:styleId="fontstyle01">
    <w:name w:val="fontstyle01"/>
    <w:rsid w:val="00501873"/>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501873"/>
  </w:style>
  <w:style w:type="numbering" w:customStyle="1" w:styleId="NoList21">
    <w:name w:val="No List21"/>
    <w:next w:val="a2"/>
    <w:uiPriority w:val="99"/>
    <w:semiHidden/>
    <w:unhideWhenUsed/>
    <w:rsid w:val="00501873"/>
  </w:style>
  <w:style w:type="numbering" w:customStyle="1" w:styleId="NoList31">
    <w:name w:val="No List31"/>
    <w:next w:val="a2"/>
    <w:uiPriority w:val="99"/>
    <w:semiHidden/>
    <w:unhideWhenUsed/>
    <w:rsid w:val="00501873"/>
  </w:style>
  <w:style w:type="numbering" w:customStyle="1" w:styleId="NoList41">
    <w:name w:val="No List41"/>
    <w:next w:val="a2"/>
    <w:uiPriority w:val="99"/>
    <w:semiHidden/>
    <w:unhideWhenUsed/>
    <w:rsid w:val="00501873"/>
  </w:style>
  <w:style w:type="table" w:customStyle="1" w:styleId="TableGrid11">
    <w:name w:val="Table Grid11"/>
    <w:basedOn w:val="a1"/>
    <w:next w:val="a7"/>
    <w:uiPriority w:val="39"/>
    <w:rsid w:val="00501873"/>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87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68236798">
      <w:bodyDiv w:val="1"/>
      <w:marLeft w:val="0"/>
      <w:marRight w:val="0"/>
      <w:marTop w:val="0"/>
      <w:marBottom w:val="0"/>
      <w:divBdr>
        <w:top w:val="none" w:sz="0" w:space="0" w:color="auto"/>
        <w:left w:val="none" w:sz="0" w:space="0" w:color="auto"/>
        <w:bottom w:val="none" w:sz="0" w:space="0" w:color="auto"/>
        <w:right w:val="none" w:sz="0" w:space="0" w:color="auto"/>
      </w:divBdr>
      <w:divsChild>
        <w:div w:id="2077169222">
          <w:marLeft w:val="360"/>
          <w:marRight w:val="0"/>
          <w:marTop w:val="200"/>
          <w:marBottom w:val="0"/>
          <w:divBdr>
            <w:top w:val="none" w:sz="0" w:space="0" w:color="auto"/>
            <w:left w:val="none" w:sz="0" w:space="0" w:color="auto"/>
            <w:bottom w:val="none" w:sz="0" w:space="0" w:color="auto"/>
            <w:right w:val="none" w:sz="0" w:space="0" w:color="auto"/>
          </w:divBdr>
        </w:div>
        <w:div w:id="821700781">
          <w:marLeft w:val="1080"/>
          <w:marRight w:val="0"/>
          <w:marTop w:val="100"/>
          <w:marBottom w:val="0"/>
          <w:divBdr>
            <w:top w:val="none" w:sz="0" w:space="0" w:color="auto"/>
            <w:left w:val="none" w:sz="0" w:space="0" w:color="auto"/>
            <w:bottom w:val="none" w:sz="0" w:space="0" w:color="auto"/>
            <w:right w:val="none" w:sz="0" w:space="0" w:color="auto"/>
          </w:divBdr>
        </w:div>
        <w:div w:id="407315388">
          <w:marLeft w:val="360"/>
          <w:marRight w:val="0"/>
          <w:marTop w:val="200"/>
          <w:marBottom w:val="0"/>
          <w:divBdr>
            <w:top w:val="none" w:sz="0" w:space="0" w:color="auto"/>
            <w:left w:val="none" w:sz="0" w:space="0" w:color="auto"/>
            <w:bottom w:val="none" w:sz="0" w:space="0" w:color="auto"/>
            <w:right w:val="none" w:sz="0" w:space="0" w:color="auto"/>
          </w:divBdr>
        </w:div>
        <w:div w:id="139158430">
          <w:marLeft w:val="360"/>
          <w:marRight w:val="0"/>
          <w:marTop w:val="200"/>
          <w:marBottom w:val="0"/>
          <w:divBdr>
            <w:top w:val="none" w:sz="0" w:space="0" w:color="auto"/>
            <w:left w:val="none" w:sz="0" w:space="0" w:color="auto"/>
            <w:bottom w:val="none" w:sz="0" w:space="0" w:color="auto"/>
            <w:right w:val="none" w:sz="0" w:space="0" w:color="auto"/>
          </w:divBdr>
        </w:div>
        <w:div w:id="1770353594">
          <w:marLeft w:val="1080"/>
          <w:marRight w:val="0"/>
          <w:marTop w:val="100"/>
          <w:marBottom w:val="0"/>
          <w:divBdr>
            <w:top w:val="none" w:sz="0" w:space="0" w:color="auto"/>
            <w:left w:val="none" w:sz="0" w:space="0" w:color="auto"/>
            <w:bottom w:val="none" w:sz="0" w:space="0" w:color="auto"/>
            <w:right w:val="none" w:sz="0" w:space="0" w:color="auto"/>
          </w:divBdr>
        </w:div>
        <w:div w:id="1945527205">
          <w:marLeft w:val="360"/>
          <w:marRight w:val="0"/>
          <w:marTop w:val="200"/>
          <w:marBottom w:val="0"/>
          <w:divBdr>
            <w:top w:val="none" w:sz="0" w:space="0" w:color="auto"/>
            <w:left w:val="none" w:sz="0" w:space="0" w:color="auto"/>
            <w:bottom w:val="none" w:sz="0" w:space="0" w:color="auto"/>
            <w:right w:val="none" w:sz="0" w:space="0" w:color="auto"/>
          </w:divBdr>
        </w:div>
        <w:div w:id="874268382">
          <w:marLeft w:val="360"/>
          <w:marRight w:val="0"/>
          <w:marTop w:val="200"/>
          <w:marBottom w:val="0"/>
          <w:divBdr>
            <w:top w:val="none" w:sz="0" w:space="0" w:color="auto"/>
            <w:left w:val="none" w:sz="0" w:space="0" w:color="auto"/>
            <w:bottom w:val="none" w:sz="0" w:space="0" w:color="auto"/>
            <w:right w:val="none" w:sz="0" w:space="0" w:color="auto"/>
          </w:divBdr>
        </w:div>
        <w:div w:id="48306516">
          <w:marLeft w:val="1080"/>
          <w:marRight w:val="0"/>
          <w:marTop w:val="100"/>
          <w:marBottom w:val="0"/>
          <w:divBdr>
            <w:top w:val="none" w:sz="0" w:space="0" w:color="auto"/>
            <w:left w:val="none" w:sz="0" w:space="0" w:color="auto"/>
            <w:bottom w:val="none" w:sz="0" w:space="0" w:color="auto"/>
            <w:right w:val="none" w:sz="0" w:space="0" w:color="auto"/>
          </w:divBdr>
        </w:div>
        <w:div w:id="1056590259">
          <w:marLeft w:val="1800"/>
          <w:marRight w:val="0"/>
          <w:marTop w:val="100"/>
          <w:marBottom w:val="0"/>
          <w:divBdr>
            <w:top w:val="none" w:sz="0" w:space="0" w:color="auto"/>
            <w:left w:val="none" w:sz="0" w:space="0" w:color="auto"/>
            <w:bottom w:val="none" w:sz="0" w:space="0" w:color="auto"/>
            <w:right w:val="none" w:sz="0" w:space="0" w:color="auto"/>
          </w:divBdr>
        </w:div>
        <w:div w:id="977539380">
          <w:marLeft w:val="1080"/>
          <w:marRight w:val="0"/>
          <w:marTop w:val="100"/>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1758793489">
          <w:marLeft w:val="547"/>
          <w:marRight w:val="0"/>
          <w:marTop w:val="115"/>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684020159">
          <w:marLeft w:val="1166"/>
          <w:marRight w:val="0"/>
          <w:marTop w:val="96"/>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643579037">
          <w:marLeft w:val="1166"/>
          <w:marRight w:val="0"/>
          <w:marTop w:val="96"/>
          <w:marBottom w:val="0"/>
          <w:divBdr>
            <w:top w:val="none" w:sz="0" w:space="0" w:color="auto"/>
            <w:left w:val="none" w:sz="0" w:space="0" w:color="auto"/>
            <w:bottom w:val="none" w:sz="0" w:space="0" w:color="auto"/>
            <w:right w:val="none" w:sz="0" w:space="0" w:color="auto"/>
          </w:divBdr>
        </w:div>
        <w:div w:id="1513104335">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2042364882">
          <w:marLeft w:val="547"/>
          <w:marRight w:val="0"/>
          <w:marTop w:val="115"/>
          <w:marBottom w:val="0"/>
          <w:divBdr>
            <w:top w:val="none" w:sz="0" w:space="0" w:color="auto"/>
            <w:left w:val="none" w:sz="0" w:space="0" w:color="auto"/>
            <w:bottom w:val="none" w:sz="0" w:space="0" w:color="auto"/>
            <w:right w:val="none" w:sz="0" w:space="0" w:color="auto"/>
          </w:divBdr>
        </w:div>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38415686">
      <w:bodyDiv w:val="1"/>
      <w:marLeft w:val="0"/>
      <w:marRight w:val="0"/>
      <w:marTop w:val="0"/>
      <w:marBottom w:val="0"/>
      <w:divBdr>
        <w:top w:val="none" w:sz="0" w:space="0" w:color="auto"/>
        <w:left w:val="none" w:sz="0" w:space="0" w:color="auto"/>
        <w:bottom w:val="none" w:sz="0" w:space="0" w:color="auto"/>
        <w:right w:val="none" w:sz="0" w:space="0" w:color="auto"/>
      </w:divBdr>
      <w:divsChild>
        <w:div w:id="468547954">
          <w:marLeft w:val="216"/>
          <w:marRight w:val="0"/>
          <w:marTop w:val="200"/>
          <w:marBottom w:val="0"/>
          <w:divBdr>
            <w:top w:val="none" w:sz="0" w:space="0" w:color="auto"/>
            <w:left w:val="none" w:sz="0" w:space="0" w:color="auto"/>
            <w:bottom w:val="none" w:sz="0" w:space="0" w:color="auto"/>
            <w:right w:val="none" w:sz="0" w:space="0" w:color="auto"/>
          </w:divBdr>
        </w:div>
        <w:div w:id="1779106680">
          <w:marLeft w:val="562"/>
          <w:marRight w:val="0"/>
          <w:marTop w:val="100"/>
          <w:marBottom w:val="0"/>
          <w:divBdr>
            <w:top w:val="none" w:sz="0" w:space="0" w:color="auto"/>
            <w:left w:val="none" w:sz="0" w:space="0" w:color="auto"/>
            <w:bottom w:val="none" w:sz="0" w:space="0" w:color="auto"/>
            <w:right w:val="none" w:sz="0" w:space="0" w:color="auto"/>
          </w:divBdr>
        </w:div>
        <w:div w:id="2147162168">
          <w:marLeft w:val="562"/>
          <w:marRight w:val="0"/>
          <w:marTop w:val="100"/>
          <w:marBottom w:val="0"/>
          <w:divBdr>
            <w:top w:val="none" w:sz="0" w:space="0" w:color="auto"/>
            <w:left w:val="none" w:sz="0" w:space="0" w:color="auto"/>
            <w:bottom w:val="none" w:sz="0" w:space="0" w:color="auto"/>
            <w:right w:val="none" w:sz="0" w:space="0" w:color="auto"/>
          </w:divBdr>
        </w:div>
        <w:div w:id="1215584273">
          <w:marLeft w:val="562"/>
          <w:marRight w:val="0"/>
          <w:marTop w:val="100"/>
          <w:marBottom w:val="0"/>
          <w:divBdr>
            <w:top w:val="none" w:sz="0" w:space="0" w:color="auto"/>
            <w:left w:val="none" w:sz="0" w:space="0" w:color="auto"/>
            <w:bottom w:val="none" w:sz="0" w:space="0" w:color="auto"/>
            <w:right w:val="none" w:sz="0" w:space="0" w:color="auto"/>
          </w:divBdr>
        </w:div>
        <w:div w:id="210267699">
          <w:marLeft w:val="216"/>
          <w:marRight w:val="0"/>
          <w:marTop w:val="200"/>
          <w:marBottom w:val="0"/>
          <w:divBdr>
            <w:top w:val="none" w:sz="0" w:space="0" w:color="auto"/>
            <w:left w:val="none" w:sz="0" w:space="0" w:color="auto"/>
            <w:bottom w:val="none" w:sz="0" w:space="0" w:color="auto"/>
            <w:right w:val="none" w:sz="0" w:space="0" w:color="auto"/>
          </w:divBdr>
        </w:div>
        <w:div w:id="1673751692">
          <w:marLeft w:val="562"/>
          <w:marRight w:val="0"/>
          <w:marTop w:val="100"/>
          <w:marBottom w:val="0"/>
          <w:divBdr>
            <w:top w:val="none" w:sz="0" w:space="0" w:color="auto"/>
            <w:left w:val="none" w:sz="0" w:space="0" w:color="auto"/>
            <w:bottom w:val="none" w:sz="0" w:space="0" w:color="auto"/>
            <w:right w:val="none" w:sz="0" w:space="0" w:color="auto"/>
          </w:divBdr>
        </w:div>
        <w:div w:id="1430197308">
          <w:marLeft w:val="1138"/>
          <w:marRight w:val="0"/>
          <w:marTop w:val="100"/>
          <w:marBottom w:val="0"/>
          <w:divBdr>
            <w:top w:val="none" w:sz="0" w:space="0" w:color="auto"/>
            <w:left w:val="none" w:sz="0" w:space="0" w:color="auto"/>
            <w:bottom w:val="none" w:sz="0" w:space="0" w:color="auto"/>
            <w:right w:val="none" w:sz="0" w:space="0" w:color="auto"/>
          </w:divBdr>
        </w:div>
        <w:div w:id="1844734520">
          <w:marLeft w:val="1138"/>
          <w:marRight w:val="0"/>
          <w:marTop w:val="100"/>
          <w:marBottom w:val="0"/>
          <w:divBdr>
            <w:top w:val="none" w:sz="0" w:space="0" w:color="auto"/>
            <w:left w:val="none" w:sz="0" w:space="0" w:color="auto"/>
            <w:bottom w:val="none" w:sz="0" w:space="0" w:color="auto"/>
            <w:right w:val="none" w:sz="0" w:space="0" w:color="auto"/>
          </w:divBdr>
        </w:div>
        <w:div w:id="833910412">
          <w:marLeft w:val="562"/>
          <w:marRight w:val="0"/>
          <w:marTop w:val="100"/>
          <w:marBottom w:val="0"/>
          <w:divBdr>
            <w:top w:val="none" w:sz="0" w:space="0" w:color="auto"/>
            <w:left w:val="none" w:sz="0" w:space="0" w:color="auto"/>
            <w:bottom w:val="none" w:sz="0" w:space="0" w:color="auto"/>
            <w:right w:val="none" w:sz="0" w:space="0" w:color="auto"/>
          </w:divBdr>
        </w:div>
        <w:div w:id="38866823">
          <w:marLeft w:val="1138"/>
          <w:marRight w:val="0"/>
          <w:marTop w:val="100"/>
          <w:marBottom w:val="0"/>
          <w:divBdr>
            <w:top w:val="none" w:sz="0" w:space="0" w:color="auto"/>
            <w:left w:val="none" w:sz="0" w:space="0" w:color="auto"/>
            <w:bottom w:val="none" w:sz="0" w:space="0" w:color="auto"/>
            <w:right w:val="none" w:sz="0" w:space="0" w:color="auto"/>
          </w:divBdr>
        </w:div>
        <w:div w:id="422338234">
          <w:marLeft w:val="1138"/>
          <w:marRight w:val="0"/>
          <w:marTop w:val="100"/>
          <w:marBottom w:val="0"/>
          <w:divBdr>
            <w:top w:val="none" w:sz="0" w:space="0" w:color="auto"/>
            <w:left w:val="none" w:sz="0" w:space="0" w:color="auto"/>
            <w:bottom w:val="none" w:sz="0" w:space="0" w:color="auto"/>
            <w:right w:val="none" w:sz="0" w:space="0" w:color="auto"/>
          </w:divBdr>
        </w:div>
        <w:div w:id="1088579602">
          <w:marLeft w:val="562"/>
          <w:marRight w:val="0"/>
          <w:marTop w:val="100"/>
          <w:marBottom w:val="0"/>
          <w:divBdr>
            <w:top w:val="none" w:sz="0" w:space="0" w:color="auto"/>
            <w:left w:val="none" w:sz="0" w:space="0" w:color="auto"/>
            <w:bottom w:val="none" w:sz="0" w:space="0" w:color="auto"/>
            <w:right w:val="none" w:sz="0" w:space="0" w:color="auto"/>
          </w:divBdr>
        </w:div>
        <w:div w:id="849180542">
          <w:marLeft w:val="1138"/>
          <w:marRight w:val="0"/>
          <w:marTop w:val="100"/>
          <w:marBottom w:val="0"/>
          <w:divBdr>
            <w:top w:val="none" w:sz="0" w:space="0" w:color="auto"/>
            <w:left w:val="none" w:sz="0" w:space="0" w:color="auto"/>
            <w:bottom w:val="none" w:sz="0" w:space="0" w:color="auto"/>
            <w:right w:val="none" w:sz="0" w:space="0" w:color="auto"/>
          </w:divBdr>
        </w:div>
        <w:div w:id="2135243878">
          <w:marLeft w:val="562"/>
          <w:marRight w:val="0"/>
          <w:marTop w:val="100"/>
          <w:marBottom w:val="0"/>
          <w:divBdr>
            <w:top w:val="none" w:sz="0" w:space="0" w:color="auto"/>
            <w:left w:val="none" w:sz="0" w:space="0" w:color="auto"/>
            <w:bottom w:val="none" w:sz="0" w:space="0" w:color="auto"/>
            <w:right w:val="none" w:sz="0" w:space="0" w:color="auto"/>
          </w:divBdr>
        </w:div>
        <w:div w:id="1442800548">
          <w:marLeft w:val="562"/>
          <w:marRight w:val="0"/>
          <w:marTop w:val="100"/>
          <w:marBottom w:val="0"/>
          <w:divBdr>
            <w:top w:val="none" w:sz="0" w:space="0" w:color="auto"/>
            <w:left w:val="none" w:sz="0" w:space="0" w:color="auto"/>
            <w:bottom w:val="none" w:sz="0" w:space="0" w:color="auto"/>
            <w:right w:val="none" w:sz="0" w:space="0" w:color="auto"/>
          </w:divBdr>
        </w:div>
        <w:div w:id="113065088">
          <w:marLeft w:val="216"/>
          <w:marRight w:val="0"/>
          <w:marTop w:val="200"/>
          <w:marBottom w:val="0"/>
          <w:divBdr>
            <w:top w:val="none" w:sz="0" w:space="0" w:color="auto"/>
            <w:left w:val="none" w:sz="0" w:space="0" w:color="auto"/>
            <w:bottom w:val="none" w:sz="0" w:space="0" w:color="auto"/>
            <w:right w:val="none" w:sz="0" w:space="0" w:color="auto"/>
          </w:divBdr>
        </w:div>
        <w:div w:id="1266965069">
          <w:marLeft w:val="562"/>
          <w:marRight w:val="0"/>
          <w:marTop w:val="100"/>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4746340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73348679">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6716599">
      <w:bodyDiv w:val="1"/>
      <w:marLeft w:val="0"/>
      <w:marRight w:val="0"/>
      <w:marTop w:val="0"/>
      <w:marBottom w:val="0"/>
      <w:divBdr>
        <w:top w:val="none" w:sz="0" w:space="0" w:color="auto"/>
        <w:left w:val="none" w:sz="0" w:space="0" w:color="auto"/>
        <w:bottom w:val="none" w:sz="0" w:space="0" w:color="auto"/>
        <w:right w:val="none" w:sz="0" w:space="0" w:color="auto"/>
      </w:divBdr>
      <w:divsChild>
        <w:div w:id="618531827">
          <w:marLeft w:val="360"/>
          <w:marRight w:val="0"/>
          <w:marTop w:val="200"/>
          <w:marBottom w:val="0"/>
          <w:divBdr>
            <w:top w:val="none" w:sz="0" w:space="0" w:color="auto"/>
            <w:left w:val="none" w:sz="0" w:space="0" w:color="auto"/>
            <w:bottom w:val="none" w:sz="0" w:space="0" w:color="auto"/>
            <w:right w:val="none" w:sz="0" w:space="0" w:color="auto"/>
          </w:divBdr>
        </w:div>
        <w:div w:id="171339338">
          <w:marLeft w:val="1080"/>
          <w:marRight w:val="0"/>
          <w:marTop w:val="100"/>
          <w:marBottom w:val="0"/>
          <w:divBdr>
            <w:top w:val="none" w:sz="0" w:space="0" w:color="auto"/>
            <w:left w:val="none" w:sz="0" w:space="0" w:color="auto"/>
            <w:bottom w:val="none" w:sz="0" w:space="0" w:color="auto"/>
            <w:right w:val="none" w:sz="0" w:space="0" w:color="auto"/>
          </w:divBdr>
        </w:div>
        <w:div w:id="798573990">
          <w:marLeft w:val="1080"/>
          <w:marRight w:val="0"/>
          <w:marTop w:val="100"/>
          <w:marBottom w:val="0"/>
          <w:divBdr>
            <w:top w:val="none" w:sz="0" w:space="0" w:color="auto"/>
            <w:left w:val="none" w:sz="0" w:space="0" w:color="auto"/>
            <w:bottom w:val="none" w:sz="0" w:space="0" w:color="auto"/>
            <w:right w:val="none" w:sz="0" w:space="0" w:color="auto"/>
          </w:divBdr>
        </w:div>
        <w:div w:id="1233539502">
          <w:marLeft w:val="1080"/>
          <w:marRight w:val="0"/>
          <w:marTop w:val="100"/>
          <w:marBottom w:val="0"/>
          <w:divBdr>
            <w:top w:val="none" w:sz="0" w:space="0" w:color="auto"/>
            <w:left w:val="none" w:sz="0" w:space="0" w:color="auto"/>
            <w:bottom w:val="none" w:sz="0" w:space="0" w:color="auto"/>
            <w:right w:val="none" w:sz="0" w:space="0" w:color="auto"/>
          </w:divBdr>
        </w:div>
        <w:div w:id="546339101">
          <w:marLeft w:val="1800"/>
          <w:marRight w:val="0"/>
          <w:marTop w:val="100"/>
          <w:marBottom w:val="0"/>
          <w:divBdr>
            <w:top w:val="none" w:sz="0" w:space="0" w:color="auto"/>
            <w:left w:val="none" w:sz="0" w:space="0" w:color="auto"/>
            <w:bottom w:val="none" w:sz="0" w:space="0" w:color="auto"/>
            <w:right w:val="none" w:sz="0" w:space="0" w:color="auto"/>
          </w:divBdr>
        </w:div>
        <w:div w:id="1308901018">
          <w:marLeft w:val="360"/>
          <w:marRight w:val="0"/>
          <w:marTop w:val="200"/>
          <w:marBottom w:val="0"/>
          <w:divBdr>
            <w:top w:val="none" w:sz="0" w:space="0" w:color="auto"/>
            <w:left w:val="none" w:sz="0" w:space="0" w:color="auto"/>
            <w:bottom w:val="none" w:sz="0" w:space="0" w:color="auto"/>
            <w:right w:val="none" w:sz="0" w:space="0" w:color="auto"/>
          </w:divBdr>
        </w:div>
        <w:div w:id="1639803051">
          <w:marLeft w:val="1080"/>
          <w:marRight w:val="0"/>
          <w:marTop w:val="100"/>
          <w:marBottom w:val="0"/>
          <w:divBdr>
            <w:top w:val="none" w:sz="0" w:space="0" w:color="auto"/>
            <w:left w:val="none" w:sz="0" w:space="0" w:color="auto"/>
            <w:bottom w:val="none" w:sz="0" w:space="0" w:color="auto"/>
            <w:right w:val="none" w:sz="0" w:space="0" w:color="auto"/>
          </w:divBdr>
        </w:div>
        <w:div w:id="116606457">
          <w:marLeft w:val="1080"/>
          <w:marRight w:val="0"/>
          <w:marTop w:val="100"/>
          <w:marBottom w:val="0"/>
          <w:divBdr>
            <w:top w:val="none" w:sz="0" w:space="0" w:color="auto"/>
            <w:left w:val="none" w:sz="0" w:space="0" w:color="auto"/>
            <w:bottom w:val="none" w:sz="0" w:space="0" w:color="auto"/>
            <w:right w:val="none" w:sz="0" w:space="0" w:color="auto"/>
          </w:divBdr>
        </w:div>
        <w:div w:id="1659577149">
          <w:marLeft w:val="1080"/>
          <w:marRight w:val="0"/>
          <w:marTop w:val="100"/>
          <w:marBottom w:val="0"/>
          <w:divBdr>
            <w:top w:val="none" w:sz="0" w:space="0" w:color="auto"/>
            <w:left w:val="none" w:sz="0" w:space="0" w:color="auto"/>
            <w:bottom w:val="none" w:sz="0" w:space="0" w:color="auto"/>
            <w:right w:val="none" w:sz="0" w:space="0" w:color="auto"/>
          </w:divBdr>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1703436541">
          <w:marLeft w:val="720"/>
          <w:marRight w:val="0"/>
          <w:marTop w:val="115"/>
          <w:marBottom w:val="0"/>
          <w:divBdr>
            <w:top w:val="none" w:sz="0" w:space="0" w:color="auto"/>
            <w:left w:val="none" w:sz="0" w:space="0" w:color="auto"/>
            <w:bottom w:val="none" w:sz="0" w:space="0" w:color="auto"/>
            <w:right w:val="none" w:sz="0" w:space="0" w:color="auto"/>
          </w:divBdr>
        </w:div>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7F1A0-DAB2-4F0F-92B3-658A349A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4</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Yankun Li/RF Performance Standard Research Lab /SRC-Beijing/Staff Engineer/Samsung Electronics</cp:lastModifiedBy>
  <cp:revision>34</cp:revision>
  <cp:lastPrinted>2019-03-25T03:05:00Z</cp:lastPrinted>
  <dcterms:created xsi:type="dcterms:W3CDTF">2020-08-04T06:24:00Z</dcterms:created>
  <dcterms:modified xsi:type="dcterms:W3CDTF">2020-08-07T09:38:00Z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